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Title"/>
        <w:spacing w:after="100"/>
      </w:pPr>
      <w:r>
        <w:t xml:space="preserve">Retail Sales Analysis — Executive Summary</w:t>
      </w:r>
    </w:p>
    <w:p>
      <w:pPr>
        <w:spacing w:after="300"/>
      </w:pPr>
      <w:r>
        <w:rPr>
          <w:color w:val="6B7280"/>
          <w:sz w:val="22"/>
          <w:szCs w:val="22"/>
        </w:rPr>
        <w:t xml:space="preserve">FY2023–FY2025 · Prepared by Vijay</w:t>
      </w:r>
    </w:p>
    <w:p>
      <w:pPr>
        <w:pStyle w:val="Heading2"/>
        <w:spacing w:after="120" w:before="240"/>
      </w:pPr>
      <w:r>
        <w:t xml:space="preserve">Headline Numbers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500"/>
        <w:gridCol w:w="4500"/>
      </w:tblGrid>
      <w:tr>
        <w:tc>
          <w:tcPr>
            <w:tcW w:type="pct" w:w="50%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Metric</w:t>
            </w:r>
          </w:p>
        </w:tc>
        <w:tc>
          <w:tcPr>
            <w:tcW w:type="pct" w:w="50%"/>
            <w:shd w:fill="1F2937" w:val="clear"/>
          </w:tcPr>
          <w:p>
            <w:r>
              <w:rPr>
                <w:b/>
                <w:bCs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Sales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₹208.4 Cr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Total Profit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₹55.9 Cr (26.8% margin)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Orders / Customers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57,718 / 8,767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Avg Order Value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₹36,106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Return Rate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7.4%</w:t>
            </w:r>
          </w:p>
        </w:tc>
      </w:tr>
      <w:tr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Repeat Customer Share</w:t>
            </w:r>
          </w:p>
        </w:tc>
        <w:tc>
          <w:tcPr>
            <w:tcW w:type="pct" w:w="50%"/>
          </w:tcPr>
          <w:p>
            <w:r>
              <w:rPr>
                <w:b w:val="false"/>
                <w:bCs w:val="false"/>
                <w:color w:val="000000"/>
                <w:sz w:val="20"/>
                <w:szCs w:val="20"/>
              </w:rPr>
              <w:t xml:space="preserve">92.2%</w:t>
            </w:r>
          </w:p>
        </w:tc>
      </w:tr>
    </w:tbl>
    <w:p>
      <w:pPr>
        <w:pStyle w:val="Heading2"/>
        <w:spacing w:after="120" w:before="240"/>
      </w:pPr>
      <w:r>
        <w:t xml:space="preserve">What's Working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Electronics drives ~59% of sales and ~58% of profit — the single biggest lever in the business.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 strongly retention-driven customer base: 92% of customers are repeat buyers.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Consistent, predictable festive-season (Oct–Nov) demand spike every year — plannable for inventory and staffing.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Profit margin is nearly identical (~27%) across all four regions — operational efficiency is not the bottleneck.</w:t>
      </w:r>
    </w:p>
    <w:p>
      <w:pPr>
        <w:pStyle w:val="Heading2"/>
        <w:spacing w:after="120" w:before="240"/>
      </w:pPr>
      <w:r>
        <w:t xml:space="preserve">What Needs Attention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Fashion (9.4%) and Electronics (9.0%) return rates are meaningfully above other categories (~6.2–6.7%).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Return rate rises with discount depth — 20%+ discounted orders return more often, eroding the intended margin benefit further.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East and North regions lag West/South on total sales despite equal margins — a demand-generation gap, not a cost problem.</w:t>
      </w:r>
    </w:p>
    <w:p>
      <w:pPr>
        <w:pStyle w:val="Heading2"/>
        <w:spacing w:after="120" w:before="240"/>
      </w:pPr>
      <w:r>
        <w:t xml:space="preserve">Top 3 Recommendations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Shift marketing/retention budget toward loyalty and win-back programs, not just acquisition — the revenue base is already retention-driven.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Audit high-discount (20%+) Fashion/Electronics promotions for return drivers before running further discount campaigns.</w:t>
      </w:r>
    </w:p>
    <w:p>
      <w:pPr>
        <w:pStyle w:val="ListParagraph"/>
        <w:numPr>
          <w:ilvl w:val="0"/>
          <w:numId w:val="1"/>
        </w:numPr>
        <w:spacing w:after="80"/>
      </w:pPr>
      <w:r>
        <w:t xml:space="preserve">Use RFM + K-Means customer segments (see notebook / customer_rfm.csv) to target Champions and At-Risk customers differently in CRM outreach.</w:t>
      </w:r>
    </w:p>
    <w:p>
      <w:pPr>
        <w:spacing w:before="300"/>
      </w:pPr>
      <w:r>
        <w:rPr>
          <w:i/>
          <w:iCs/>
          <w:color w:val="6B7280"/>
          <w:sz w:val="20"/>
          <w:szCs w:val="20"/>
        </w:rPr>
        <w:t xml:space="preserve">Full analysis, methodology, and caveats: Business_Report.docx</w:t>
      </w:r>
    </w:p>
    <w:sectPr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2026-07-06T16:14:44.390Z</dcterms:created>
  <dcterms:modified xsi:type="dcterms:W3CDTF">2026-07-06T16:14:44.390Z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