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864"/>
          <w:sz w:val="56"/>
          <w:szCs w:val="56"/>
        </w:rPr>
        <w:t xml:space="preserve">[Company Name]</w:t>
      </w:r>
    </w:p>
    <w:p>
      <w:pPr>
        <w:spacing w:after="0" w:before="300"/>
        <w:jc w:val="center"/>
      </w:pPr>
      <w:r>
        <w:rPr>
          <w:rFonts w:ascii="Calibri" w:cs="Calibri" w:eastAsia="Calibri" w:hAnsi="Calibri"/>
          <w:b/>
          <w:bCs/>
          <w:color w:val="333333"/>
          <w:sz w:val="40"/>
          <w:szCs w:val="40"/>
        </w:rPr>
        <w:t xml:space="preserve">HUMAN RESOURCES POLICY MANUAL</w:t>
      </w:r>
    </w:p>
    <w:p>
      <w:pPr>
        <w:spacing w:after="600" w:before="200"/>
        <w:jc w:val="center"/>
      </w:pPr>
      <w:r>
        <w:rPr>
          <w:rFonts w:ascii="Calibri" w:cs="Calibri" w:eastAsia="Calibri" w:hAnsi="Calibri"/>
          <w:i/>
          <w:iCs/>
          <w:color w:val="666666"/>
          <w:sz w:val="24"/>
          <w:szCs w:val="24"/>
        </w:rPr>
        <w:t xml:space="preserve">Comprehensive Employment Policies, Procedures and Standards of Conduct</w:t>
      </w:r>
    </w:p>
    <w:p>
      <w:pPr>
        <w:spacing w:before="1600"/>
        <w:jc w:val="center"/>
      </w:pPr>
      <w:r>
        <w:rPr>
          <w:rFonts w:ascii="Calibri" w:cs="Calibri" w:eastAsia="Calibri" w:hAnsi="Calibri"/>
          <w:b/>
          <w:bCs/>
          <w:color w:val="B00020"/>
          <w:sz w:val="22"/>
          <w:szCs w:val="22"/>
        </w:rPr>
        <w:t xml:space="preserve">CONFIDENTIAL — INTERNAL USE ONLY</w:t>
      </w:r>
    </w:p>
    <w:p>
      <w:pPr>
        <w:spacing w:before="800"/>
        <w:jc w:val="center"/>
      </w:pPr>
      <w:r>
        <w:rPr>
          <w:rFonts w:ascii="Calibri" w:cs="Calibri" w:eastAsia="Calibri" w:hAnsi="Calibri"/>
          <w:sz w:val="20"/>
          <w:szCs w:val="20"/>
        </w:rPr>
        <w:t xml:space="preserve">Document Reference: HR-POL-001</w:t>
      </w:r>
    </w:p>
    <w:p>
      <w:pPr>
        <w:spacing w:before="60"/>
        <w:jc w:val="center"/>
      </w:pPr>
      <w:r>
        <w:rPr>
          <w:rFonts w:ascii="Calibri" w:cs="Calibri" w:eastAsia="Calibri" w:hAnsi="Calibri"/>
          <w:sz w:val="20"/>
          <w:szCs w:val="20"/>
        </w:rPr>
        <w:t xml:space="preserve">Version: 1.0</w:t>
      </w:r>
    </w:p>
    <w:p>
      <w:pPr>
        <w:spacing w:before="60"/>
        <w:jc w:val="center"/>
      </w:pPr>
      <w:r>
        <w:rPr>
          <w:rFonts w:ascii="Calibri" w:cs="Calibri" w:eastAsia="Calibri" w:hAnsi="Calibri"/>
          <w:sz w:val="20"/>
          <w:szCs w:val="20"/>
        </w:rPr>
        <w:t xml:space="preserve">Effective Date: 18 August 2026</w:t>
      </w:r>
    </w:p>
    <w:p>
      <w:pPr>
        <w:spacing w:before="60"/>
        <w:jc w:val="center"/>
      </w:pPr>
      <w:r>
        <w:rPr>
          <w:rFonts w:ascii="Calibri" w:cs="Calibri" w:eastAsia="Calibri" w:hAnsi="Calibri"/>
          <w:sz w:val="20"/>
          <w:szCs w:val="20"/>
        </w:rPr>
        <w:t xml:space="preserve">Approved By: Board of Directors</w:t>
      </w:r>
    </w:p>
    <w:p>
      <w:pPr>
        <w:spacing w:before="60"/>
        <w:jc w:val="center"/>
      </w:pPr>
      <w:r>
        <w:rPr>
          <w:rFonts w:ascii="Calibri" w:cs="Calibri" w:eastAsia="Calibri" w:hAnsi="Calibri"/>
          <w:sz w:val="20"/>
          <w:szCs w:val="20"/>
        </w:rPr>
        <w:t xml:space="preserve">Owner: Human Resources / Legal &amp; Compliance</w:t>
      </w:r>
    </w:p>
    <w:p>
      <w:pPr>
        <w:spacing w:before="60"/>
        <w:jc w:val="center"/>
      </w:pPr>
      <w:r>
        <w:rPr>
          <w:rFonts w:ascii="Calibri" w:cs="Calibri" w:eastAsia="Calibri" w:hAnsi="Calibri"/>
          <w:sz w:val="20"/>
          <w:szCs w:val="20"/>
        </w:rPr>
        <w:t xml:space="preserve">Governing Jurisdiction: Republic of India</w:t>
      </w:r>
    </w:p>
    <w:p>
      <w:pPr>
        <w:spacing w:before="1200"/>
        <w:jc w:val="center"/>
      </w:pPr>
      <w:r>
        <w:rPr>
          <w:rFonts w:ascii="Calibri" w:cs="Calibri" w:eastAsia="Calibri" w:hAnsi="Calibri"/>
          <w:i/>
          <w:iCs/>
          <w:color w:val="777777"/>
          <w:sz w:val="16"/>
          <w:szCs w:val="16"/>
        </w:rPr>
        <w:t xml:space="preserve">This document contains 30 substantive Clauses and 5 Appendices. It is intended for internal distribution to Employees and is not to be reproduced, in whole or in part, without the prior written consent of the Human Resources function.</w:t>
      </w:r>
    </w:p>
    <w:p>
      <w:r>
        <w:br w:type="page"/>
      </w:r>
    </w:p>
    <w:p>
      <w:pPr>
        <w:pStyle w:val="Heading1"/>
        <w:spacing w:after="200"/>
      </w:pPr>
      <w:r>
        <w:rPr>
          <w:b/>
          <w:bCs/>
          <w:color w:val="1F3864"/>
          <w:sz w:val="26"/>
          <w:szCs w:val="26"/>
        </w:rPr>
        <w:t xml:space="preserve">TABLE OF CONTENTS</w:t>
      </w:r>
    </w:p>
    <w:p>
      <w:pPr>
        <w:spacing w:after="300"/>
      </w:pPr>
      <w:r>
        <w:rPr>
          <w:i/>
          <w:iCs/>
          <w:color w:val="777777"/>
          <w:sz w:val="16"/>
          <w:szCs w:val="16"/>
        </w:rPr>
        <w:t xml:space="preserve">(Right-click and choose "Update Field", then "Update entire table", if the entries below do not reflect the section list.)</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864" w:sz="6" w:space="4"/>
        </w:pBdr>
        <w:spacing w:after="200" w:before="320"/>
      </w:pPr>
      <w:r>
        <w:rPr>
          <w:rFonts w:ascii="Calibri" w:cs="Calibri" w:eastAsia="Calibri" w:hAnsi="Calibri"/>
          <w:b/>
          <w:bCs/>
          <w:color w:val="1F3864"/>
          <w:sz w:val="26"/>
          <w:szCs w:val="26"/>
        </w:rPr>
        <w:t xml:space="preserve">1.  PREAMBLE, OBJECTIVES AND STATUS OF THIS POLICY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1.1</w:t>
      </w:r>
      <w:r>
        <w:rPr>
          <w:rFonts w:ascii="Calibri" w:cs="Calibri" w:eastAsia="Calibri" w:hAnsi="Calibri"/>
          <w:sz w:val="20"/>
          <w:szCs w:val="20"/>
        </w:rPr>
        <w:t xml:space="preserve">	This Human Resources Policy Manual (this "Policy") is promulgated by the Board of [Company Name] in exercise of its power to regulate the terms and conditions of service of its Employees, and shall, upon the Effective Date, supersede and replace in their entirety all prior human resource policies, circulars, handbooks, memoranda, and practices of the Company, whether written or unwritten, express or implied, save to the extent expressly saved by Clause 29.5.</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1.2</w:t>
      </w:r>
      <w:r>
        <w:rPr>
          <w:rFonts w:ascii="Calibri" w:cs="Calibri" w:eastAsia="Calibri" w:hAnsi="Calibri"/>
          <w:sz w:val="20"/>
          <w:szCs w:val="20"/>
        </w:rPr>
        <w:t xml:space="preserve">	The objectives of this Policy are to: (a) establish a uniform, equitable, and legally compliant framework governing the employment relationship between the Company and its Employees; (b) codify the rights, obligations, entitlements, and standards of conduct applicable to Employees at every Grade and Position; (c) ensure conformity with the Act(s) and with such other law as may, from time to time, be applicable to the Company's establishments; and (d) provide a documented basis for consistent, defensible, and auditable decision-making in matters of recruitment, compensation, performance, discipline, and separation.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1.3</w:t>
      </w:r>
      <w:r>
        <w:rPr>
          <w:rFonts w:ascii="Calibri" w:cs="Calibri" w:eastAsia="Calibri" w:hAnsi="Calibri"/>
          <w:sz w:val="20"/>
          <w:szCs w:val="20"/>
        </w:rPr>
        <w:t xml:space="preserve">	For the avoidance of doubt, this Policy is a unilateral instrument of the Company and does not, of itself, constitute a contract of employment; provided, however, that where any term of this Policy is expressly incorporated by reference into an individual Employee's letter of appointment, such term shall, to that extent and for that Employee alone, acquire contractual force, without prejudice to the Company's right to vary this Policy prospectively under Clause 29.</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1.4</w:t>
      </w:r>
      <w:r>
        <w:rPr>
          <w:rFonts w:ascii="Calibri" w:cs="Calibri" w:eastAsia="Calibri" w:hAnsi="Calibri"/>
          <w:sz w:val="20"/>
          <w:szCs w:val="20"/>
        </w:rPr>
        <w:t xml:space="preserve">	This Policy shall be read as a whole, and no Clause shall be interpreted in isolation from the Definitions in Clause 2, the Appendices, or any other Clause with which it is required to be read conjointly, as indicated by cross-reference or by the general scheme of this Policy.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w:t>
      </w:r>
      <w:r>
        <w:rPr>
          <w:rFonts w:ascii="Calibri" w:cs="Calibri" w:eastAsia="Calibri" w:hAnsi="Calibri"/>
          <w:sz w:val="20"/>
          <w:szCs w:val="20"/>
        </w:rPr>
        <w:t xml:space="preserve">	Nothing contained in this Policy shall be construed so as to derogate from, or be inconsistent with, any right, benefit, or protection conferred upon an Employee by the Act(s) or by any other applicable law; and in the event of any conflict or inconsistency between a provision of this Policy and a mandatory provision of applicable law, the latter shall prevail to the extent of such conflict, without invalidating the remainder of this Policy, subject to Clause 29.7 (Severability).</w:t>
      </w:r>
    </w:p>
    <w:p>
      <w:pPr>
        <w:pStyle w:val="Heading1"/>
        <w:pBdr>
          <w:bottom w:val="single" w:color="1F3864" w:sz="6" w:space="4"/>
        </w:pBdr>
        <w:spacing w:after="200" w:before="320"/>
      </w:pPr>
      <w:r>
        <w:rPr>
          <w:rFonts w:ascii="Calibri" w:cs="Calibri" w:eastAsia="Calibri" w:hAnsi="Calibri"/>
          <w:b/>
          <w:bCs/>
          <w:color w:val="1F3864"/>
          <w:sz w:val="26"/>
          <w:szCs w:val="26"/>
        </w:rPr>
        <w:t xml:space="preserve">2.  DEFINITIONS AND RULES OF INTERPRETATION</w:t>
      </w:r>
    </w:p>
    <w:p>
      <w:pPr>
        <w:spacing w:after="160"/>
        <w:ind w:left="0"/>
      </w:pPr>
      <w:r>
        <w:rPr>
          <w:rFonts w:ascii="Calibri" w:cs="Calibri" w:eastAsia="Calibri" w:hAnsi="Calibri"/>
          <w:i/>
          <w:iCs/>
          <w:color w:val="444444"/>
          <w:sz w:val="20"/>
          <w:szCs w:val="20"/>
        </w:rPr>
        <w:t xml:space="preserve">The following expressions shall, unless the context otherwise requires, bear the meanings respectively assigned to them below. Terms not defined in this Clause but defined elsewhere in this Policy shall bear the meaning assigned at the point of first use, denoted by initial capitalisation.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Defined Term</w:t>
            </w:r>
          </w:p>
        </w:tc>
        <w:tc>
          <w:tcPr>
            <w:tcW w:type="dxa" w:w="67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Meaning</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"Act(s)"</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Shall mean, collectively and individually as the context may require, the Industrial Employment (Standing Orders) Act, 1946; the Industrial Disputes Act, 1947; the Factories Act, 1948; the Employees’ State Insurance Act, 1948; the Minimum Wages Act, 1948; the Employees’ Provident Funds and Miscellaneous Provisions Act, 1952; the Payment of Bonus Act, 1965; the Payment of Gratuity Act, 1972; the Equal Remuneration Act, 1976; the Contract Labour (Regulation and Abolition) Act, 1970; the Maternity Benefit Act, 1961 (as amended by the Maternity Benefit (Amendment) Act, 2017); the Sexual Harassment of Women at Workplace (Prevention, Prohibition and Redressal) Act, 2013; the applicable state-specific Shops and Commercial Establishments Act(s); the Code on Wages, 2019; the Industrial Relations Code, 2020; the Code on Social Security, 2020; the Occupational Safety, Health and Working Conditions Code, 2020; and any rules, notifications, circulars or amendments issued pursuant thereto from time to time, to the extent applicable to the relevant establishment of the Company.</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"Appointing Authority"</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The person or body of persons vested with the power to make, confirm, vary, or terminate an appointment in respect of an Employee, as designated from time to time by the Board or by delegation of authority under Appendix D.</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"Board"</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The Board of Directors of the Company, or any committee thereof duly authorised to exercise the powers of the Board in relation to human resource matters.</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"Competent Authority"</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In relation to any provision of this Policy, the officer, committee, or body designated as competent to exercise the power or discharge the function in question, whether by explicit designation herein, by the Delegation of Authority Matrix at Appendix D, or by subsequent written delegation.</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"Confidential Information"</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Has the meaning ascribed to it in Clause 18.3, and includes, without limitation, all Proprietary Information and Trade Secrets of the Company.</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"Continuous Service"</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Uninterrupted service and includes service interrupted by sickness, authorised leave, accident, authorised strike which is not illegal, or lock-out, or cessation of work not due to the fault of the Employee, computed in the manner prescribed under the Payment of Gratuity Act, 1972 and, where applicable, the Code on Social Security, 2020.</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"CTC"</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Cost to Company, being the aggregate annual cost borne by the Company in respect of an Employee, comprising Fixed Pay, Variable Pay, statutory contributions, and the notional or actual cost of Benefits, as more particularly set out in the Employee’s Compensation Letter.</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"Disciplinary Authority"</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The Competent Authority empowered under Clause 23 to initiate, conduct, or adjudicate disciplinary proceedings against an Employee, which authority shall ordinarily vest in the Employee’s Reporting Manager’s next superior, or such other officer as HR may designate having regard to the gravity of the alleged Misconduct.</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"Effective Date"</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The date on which this Policy, or the relevant amendment thereto, is notified as having come into force, as recorded on the cover page hereof.</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"Employee"</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Any person employed by the Company on its rolls, whether designated as an officer, executive, staff, workman, or otherwise, on a full-time, part-time, fixed-term, probationary, confirmed, or consultant-cum-employee basis, but excluding, save where the context otherwise requires or a specific clause otherwise provides, persons engaged purely as independent contractors, consultants without an employer-employee relationship, contract labour supplied through a licensed contractor, or trainees engaged under a distinct apprenticeship or internship instrument.</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"Fixed-Term Employee"</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An Employee engaged for a specified, non-recurring period pursuant to a written contract of employment specifying the date of commencement and, either expressly or by reference to an ascertainable event, the date of cessation, whose terms shall, for the avoidance of doubt, be no less favourable than those of a comparable Permanent Employee in respect of working hours, wages, allowances, and other statutory dues, in accordance with applicable law.</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"Grade"</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The job grade, band, or level assigned to an Employee’s Position in the Company’s job architecture, as recorded in the Human Resource Information System (“HRIS”) and referenced in Appendix A and Appendix B.</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"Gross Misconduct"</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Any act or omission of the nature enumerated in Clause 23.6, or reasonably analogous thereto, warranting summary action up to and including termination without notice, subject to the principles of natural justice.</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"HR"</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The Human Resources function of the Company, including any shared-services, business-partner, or centre-of-excellence structure through which that function is discharged from time to time.</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"Immediate Family"</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In relation to an Employee, the Employee’s spouse, dependent children (including legally adopted and step-children), dependent parents, and dependent parents-in-law, and, where the context of a specific Benefit so provides, such other relation as may be notified by HR.</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"Managerial Employee"</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An Employee who, by virtue of the duties attached to their Position, is principally engaged in functions of a managerial or administrative nature and is, accordingly, excluded from the definition of “workman” under Section 2(s) of the Industrial Disputes Act, 1947, or the corresponding provision of the Industrial Relations Code, 2020, as the case may be.</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"Misconduct"</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Any act, omission, or course of conduct on the part of an Employee that contravenes this Policy, the Company’s Code of Conduct, applicable law, or the reasonable and lawful instructions of a superior, as more particularly illustrated (without limitation) in Clause 23.</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"Notice Pay"</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A sum equivalent to the Employee’s Fixed Pay (or such portion thereof as may be agreed) in lieu of the whole or unserved portion of the notice period stipulated in Clause 26 and Appendix B.</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"Policy"</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This Human Resources Policy Manual, including all Clauses, Schedules, Appendices, and Annexures hereto, as amended, supplemented, or restated from time to time in accordance with Clause 29.</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"Position"</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The specific role, designation, and set of responsibilities assigned to an Employee, as recorded in the Employee’s appointment letter and in the HRIS.</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"Probationary Employee"</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An Employee undergoing the period of probation referred to in Clause 6, whose services may be confirmed, extended on probation, or discontinued in accordance with that Clause.</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"Reporting Manager"</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The Employee, however designated, to whom an Employee directly and formally reports in the organisational hierarchy as recorded in the HRIS from time to time.</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"Reviewing Authority"</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The Competent Authority designated under Clause 24 to hear and determine an appeal or grievance where the matter has not been resolved to the Employee’s satisfaction at the first level.</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"Statutory Dues"</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All contributions, deductions, and payments required to be made by the Company or the Employee under the Act(s), including provident fund, employees’ state insurance, professional tax, tax deducted at source, labour welfare fund, and gratuity.</w:t>
            </w:r>
          </w:p>
        </w:tc>
      </w:tr>
      <w:tr>
        <w:tc>
          <w:tcPr>
            <w:tcW w:type="dxa" w:w="23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"Trade Secret"</w:t>
            </w:r>
          </w:p>
        </w:tc>
        <w:tc>
          <w:tcPr>
            <w:tcW w:type="dxa" w:w="67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Information, including a formula, pattern, compilation, program, device, method, technique, or process, that derives independent economic value from not being generally known, and that is the subject of reasonable efforts by the Company to maintain its secrecy.</w:t>
            </w:r>
          </w:p>
        </w:tc>
      </w:tr>
      <w:tr>
        <w:tc>
          <w:tcPr>
            <w:tcW w:type="dxa" w:w="23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"Working Day"</w:t>
            </w:r>
          </w:p>
        </w:tc>
        <w:tc>
          <w:tcPr>
            <w:tcW w:type="dxa" w:w="67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A day on which the relevant establishment of the Company is open for business, excluding weekly offs and Notified Holidays applicable to that establishment.</w:t>
            </w:r>
          </w:p>
        </w:tc>
      </w:tr>
    </w:tbl>
    <w:p>
      <w:pPr>
        <w:spacing w:after="0" w:before="220"/>
      </w:pP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2.1</w:t>
      </w:r>
      <w:r>
        <w:rPr>
          <w:rFonts w:ascii="Calibri" w:cs="Calibri" w:eastAsia="Calibri" w:hAnsi="Calibri"/>
          <w:sz w:val="20"/>
          <w:szCs w:val="20"/>
        </w:rPr>
        <w:t xml:space="preserve">	Words importing the singular shall include the plural and vice versa; words importing a gender shall include every gender; and references to "Clause," "Appendix," or "Schedule" are, unless otherwise stated, references to a Clause, Appendix, or Schedule of this Policy.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2.2</w:t>
      </w:r>
      <w:r>
        <w:rPr>
          <w:rFonts w:ascii="Calibri" w:cs="Calibri" w:eastAsia="Calibri" w:hAnsi="Calibri"/>
          <w:sz w:val="20"/>
          <w:szCs w:val="20"/>
        </w:rPr>
        <w:t xml:space="preserve">	A reference to a statute, rule, or regulation shall be construed as a reference to that statute, rule, or regulation as amended, re-enacted, or consolidated from time to time, and shall include any subordinate legislation made thereunder.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w:t>
      </w:r>
      <w:r>
        <w:rPr>
          <w:rFonts w:ascii="Calibri" w:cs="Calibri" w:eastAsia="Calibri" w:hAnsi="Calibri"/>
          <w:sz w:val="20"/>
          <w:szCs w:val="20"/>
        </w:rPr>
        <w:t xml:space="preserve">	The headings and marginal notes in this Policy are inserted for convenience of reference only and shall not affect its interpretation.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2.4</w:t>
      </w:r>
      <w:r>
        <w:rPr>
          <w:rFonts w:ascii="Calibri" w:cs="Calibri" w:eastAsia="Calibri" w:hAnsi="Calibri"/>
          <w:sz w:val="20"/>
          <w:szCs w:val="20"/>
        </w:rPr>
        <w:t xml:space="preserve">	Where this Policy provides that a matter shall be dealt with "in accordance with applicable law," and this Policy is silent or ambiguous as to the specific mechanism, HR shall, in consultation with the Company's legal function, determine the applicable procedure, and such determination shall, absent manifest error, be treated as conclusive for the purposes of internal administration.</w:t>
      </w:r>
    </w:p>
    <w:p>
      <w:pPr>
        <w:pStyle w:val="Heading1"/>
        <w:pBdr>
          <w:bottom w:val="single" w:color="1F3864" w:sz="6" w:space="4"/>
        </w:pBdr>
        <w:spacing w:after="200" w:before="320"/>
      </w:pPr>
      <w:r>
        <w:rPr>
          <w:rFonts w:ascii="Calibri" w:cs="Calibri" w:eastAsia="Calibri" w:hAnsi="Calibri"/>
          <w:b/>
          <w:bCs/>
          <w:color w:val="1F3864"/>
          <w:sz w:val="26"/>
          <w:szCs w:val="26"/>
        </w:rPr>
        <w:t xml:space="preserve">3.  SCOPE, APPLICABILITY AND ORDER OF PRECEDENCE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3.1</w:t>
      </w:r>
      <w:r>
        <w:rPr>
          <w:rFonts w:ascii="Calibri" w:cs="Calibri" w:eastAsia="Calibri" w:hAnsi="Calibri"/>
          <w:sz w:val="20"/>
          <w:szCs w:val="20"/>
        </w:rPr>
        <w:t xml:space="preserve">	This Policy applies to all Employees of [Company Name] across all its establishments, offices, and business units in India, irrespective of Grade, Position, or location, except to the extent that a specific Clause, by its own terms, is expressed to apply only to a defined category of Employees (such as, without limitation, Fixed-Term Employees, Probationary Employees, or Managerial Employees).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3.2</w:t>
      </w:r>
      <w:r>
        <w:rPr>
          <w:rFonts w:ascii="Calibri" w:cs="Calibri" w:eastAsia="Calibri" w:hAnsi="Calibri"/>
          <w:sz w:val="20"/>
          <w:szCs w:val="20"/>
        </w:rPr>
        <w:t xml:space="preserve">	Where a separate agreement, settlement, award, or state-specific standing order registered under the Industrial Employment (Standing Orders) Act, 1946 governs the terms of employment of a category of Employees at a particular establishment, the terms of such agreement, settlement, award, or standing order shall prevail over this Policy to the extent of any inconsistency, and this Policy shall apply suppletively in respect of matters not covered thereby.</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3.2.1</w:t>
      </w:r>
      <w:r>
        <w:rPr>
          <w:rFonts w:ascii="Calibri" w:cs="Calibri" w:eastAsia="Calibri" w:hAnsi="Calibri"/>
          <w:sz w:val="20"/>
          <w:szCs w:val="20"/>
        </w:rPr>
        <w:t xml:space="preserve">	HR shall maintain a register, cross-referenced to Appendix D, identifying every establishment in respect of which a certified standing order or long-term settlement is in force, and shall update the same within thirty (30) days of any change in status.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3.3</w:t>
      </w:r>
      <w:r>
        <w:rPr>
          <w:rFonts w:ascii="Calibri" w:cs="Calibri" w:eastAsia="Calibri" w:hAnsi="Calibri"/>
          <w:sz w:val="20"/>
          <w:szCs w:val="20"/>
        </w:rPr>
        <w:t xml:space="preserve">	This Policy does not, save where expressly stated, apply to: (a) contract labour engaged through a licensed contractor under the Contract Labour (Regulation and Abolition) Act, 1970, whose terms are governed by the principal employer-contractor agreement and applicable law; (b) interns or apprentices engaged under a distinct internship or apprenticeship agreement, or under the Apprentices Act, 1961; and (c) consultants or professional service providers engaged on a principal-to-principal basis without an employer-employee relationship.</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3.4</w:t>
      </w:r>
      <w:r>
        <w:rPr>
          <w:rFonts w:ascii="Calibri" w:cs="Calibri" w:eastAsia="Calibri" w:hAnsi="Calibri"/>
          <w:sz w:val="20"/>
          <w:szCs w:val="20"/>
        </w:rPr>
        <w:t xml:space="preserve">	Order of precedence. In the event of any conflict between (i) the Act(s), (ii) a registered settlement, award, or certified standing order, (iii) an individual Employee's letter of appointment, (iv) this Policy, and (v) any circular, FAQ, or communication issued by HR interpreting this Policy, the order of precedence shall be as listed in items (i) through (v), with item (i) prevailing over all others.</w:t>
      </w:r>
    </w:p>
    <w:p>
      <w:pPr>
        <w:pStyle w:val="Heading1"/>
        <w:pBdr>
          <w:bottom w:val="single" w:color="1F3864" w:sz="6" w:space="4"/>
        </w:pBdr>
        <w:spacing w:after="200" w:before="320"/>
      </w:pPr>
      <w:r>
        <w:rPr>
          <w:rFonts w:ascii="Calibri" w:cs="Calibri" w:eastAsia="Calibri" w:hAnsi="Calibri"/>
          <w:b/>
          <w:bCs/>
          <w:color w:val="1F3864"/>
          <w:sz w:val="26"/>
          <w:szCs w:val="26"/>
        </w:rPr>
        <w:t xml:space="preserve">4.  EMPLOYMENT CLASSIFICATION AND CATEGORIES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4.1</w:t>
      </w:r>
      <w:r>
        <w:rPr>
          <w:rFonts w:ascii="Calibri" w:cs="Calibri" w:eastAsia="Calibri" w:hAnsi="Calibri"/>
          <w:sz w:val="20"/>
          <w:szCs w:val="20"/>
        </w:rPr>
        <w:t xml:space="preserve">	Employees shall be classified, for administrative and statutory purposes, into the following non-exhaustive categories, each governed by such additional Clauses of this Policy as apply specifically thereto:</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4.1.1</w:t>
      </w:r>
      <w:r>
        <w:rPr>
          <w:rFonts w:ascii="Calibri" w:cs="Calibri" w:eastAsia="Calibri" w:hAnsi="Calibri"/>
          <w:sz w:val="20"/>
          <w:szCs w:val="20"/>
        </w:rPr>
        <w:t xml:space="preserve">	Permanent Employees — Employees confirmed in service following successful completion of probation under Clause 6, engaged for an indeterminate period.</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4.1.2</w:t>
      </w:r>
      <w:r>
        <w:rPr>
          <w:rFonts w:ascii="Calibri" w:cs="Calibri" w:eastAsia="Calibri" w:hAnsi="Calibri"/>
          <w:sz w:val="20"/>
          <w:szCs w:val="20"/>
        </w:rPr>
        <w:t xml:space="preserve">	Probationary Employees — as defined in Clause 2 and governed by Clause 6.</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4.1.3</w:t>
      </w:r>
      <w:r>
        <w:rPr>
          <w:rFonts w:ascii="Calibri" w:cs="Calibri" w:eastAsia="Calibri" w:hAnsi="Calibri"/>
          <w:sz w:val="20"/>
          <w:szCs w:val="20"/>
        </w:rPr>
        <w:t xml:space="preserve">	Fixed-Term Employees — as defined in Clause 2, governed additionally by Clause 4.3.</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4.1.4</w:t>
      </w:r>
      <w:r>
        <w:rPr>
          <w:rFonts w:ascii="Calibri" w:cs="Calibri" w:eastAsia="Calibri" w:hAnsi="Calibri"/>
          <w:sz w:val="20"/>
          <w:szCs w:val="20"/>
        </w:rPr>
        <w:t xml:space="preserve">	Part-Time Employees — Employees engaged to work fewer than the standard weekly hours prescribed in Clause 7.1, whose Benefits and Statutory Dues shall be pro-rated in the manner set out in their appointment letter and in accordance with applicable law.</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4.1.5</w:t>
      </w:r>
      <w:r>
        <w:rPr>
          <w:rFonts w:ascii="Calibri" w:cs="Calibri" w:eastAsia="Calibri" w:hAnsi="Calibri"/>
          <w:sz w:val="20"/>
          <w:szCs w:val="20"/>
        </w:rPr>
        <w:t xml:space="preserve">	Managerial Employees — as defined in Clause 2, in respect of whom certain protections available to "workmen" under the Act(s) may not apply, without prejudice to any other statutory protection available to such Employees.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4.2</w:t>
      </w:r>
      <w:r>
        <w:rPr>
          <w:rFonts w:ascii="Calibri" w:cs="Calibri" w:eastAsia="Calibri" w:hAnsi="Calibri"/>
          <w:sz w:val="20"/>
          <w:szCs w:val="20"/>
        </w:rPr>
        <w:t xml:space="preserve">	Classification under Clause 4.1 shall be determined by HR at the time of issuance of the offer of employment, having regard to the substantive nature of the duties to be performed and not merely the nomenclature of the Position, and shall be recorded in the HRIS and in the Employee's appointment letter.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4.3</w:t>
      </w:r>
      <w:r>
        <w:rPr>
          <w:rFonts w:ascii="Calibri" w:cs="Calibri" w:eastAsia="Calibri" w:hAnsi="Calibri"/>
          <w:sz w:val="20"/>
          <w:szCs w:val="20"/>
        </w:rPr>
        <w:t xml:space="preserve">	Fixed-Term Employment.</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4.3.1</w:t>
      </w:r>
      <w:r>
        <w:rPr>
          <w:rFonts w:ascii="Calibri" w:cs="Calibri" w:eastAsia="Calibri" w:hAnsi="Calibri"/>
          <w:sz w:val="20"/>
          <w:szCs w:val="20"/>
        </w:rPr>
        <w:t xml:space="preserve">	A Fixed-Term Employee's contract shall automatically stand terminated upon the expiry of its stated term without any requirement of notice, severance, or Notice Pay, save where continuation of employment beyond such term is separately and expressly agreed in writing prior to expiry.</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4.3.2</w:t>
      </w:r>
      <w:r>
        <w:rPr>
          <w:rFonts w:ascii="Calibri" w:cs="Calibri" w:eastAsia="Calibri" w:hAnsi="Calibri"/>
          <w:sz w:val="20"/>
          <w:szCs w:val="20"/>
        </w:rPr>
        <w:t xml:space="preserve">	A Fixed-Term Employee shall be eligible for gratuity on a pro-rata basis notwithstanding non-completion of five (5) years of Continuous Service, to the extent required under applicable law.</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4.3.3</w:t>
      </w:r>
      <w:r>
        <w:rPr>
          <w:rFonts w:ascii="Calibri" w:cs="Calibri" w:eastAsia="Calibri" w:hAnsi="Calibri"/>
          <w:sz w:val="20"/>
          <w:szCs w:val="20"/>
        </w:rPr>
        <w:t xml:space="preserve">	Nothing in this Clause 4.3 shall be construed as conferring upon a Fixed-Term Employee any right to renewal, absorption, or regularisation, whether by reason of repeated renewal of successive fixed terms or otherwise, save as may be required by a binding judicial precedent or statutory provision applicable at the relevant time.</w:t>
      </w:r>
    </w:p>
    <w:p>
      <w:pPr>
        <w:pStyle w:val="Heading1"/>
        <w:pBdr>
          <w:bottom w:val="single" w:color="1F3864" w:sz="6" w:space="4"/>
        </w:pBdr>
        <w:spacing w:after="200" w:before="320"/>
      </w:pPr>
      <w:r>
        <w:rPr>
          <w:rFonts w:ascii="Calibri" w:cs="Calibri" w:eastAsia="Calibri" w:hAnsi="Calibri"/>
          <w:b/>
          <w:bCs/>
          <w:color w:val="1F3864"/>
          <w:sz w:val="26"/>
          <w:szCs w:val="26"/>
        </w:rPr>
        <w:t xml:space="preserve">5.  RECRUITMENT, SELECTION AND ONBOARDING</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5.1</w:t>
      </w:r>
      <w:r>
        <w:rPr>
          <w:rFonts w:ascii="Calibri" w:cs="Calibri" w:eastAsia="Calibri" w:hAnsi="Calibri"/>
          <w:sz w:val="20"/>
          <w:szCs w:val="20"/>
        </w:rPr>
        <w:t xml:space="preserve">	All recruitment shall be conducted on the basis of merit, and in accordance with the Company's equal opportunity commitments under Clause 16, without regard to religion, race, caste, sex, sexual orientation, gender identity or expression, disability, marital or parental status, or any other ground prohibited by applicable law.</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5.2</w:t>
      </w:r>
      <w:r>
        <w:rPr>
          <w:rFonts w:ascii="Calibri" w:cs="Calibri" w:eastAsia="Calibri" w:hAnsi="Calibri"/>
          <w:sz w:val="20"/>
          <w:szCs w:val="20"/>
        </w:rPr>
        <w:t xml:space="preserve">	Requisition and approval.</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5.2.1</w:t>
      </w:r>
      <w:r>
        <w:rPr>
          <w:rFonts w:ascii="Calibri" w:cs="Calibri" w:eastAsia="Calibri" w:hAnsi="Calibri"/>
          <w:sz w:val="20"/>
          <w:szCs w:val="20"/>
        </w:rPr>
        <w:t xml:space="preserve">	No Position shall be advertised, sourced, or interviewed against until a manpower requisition has been raised in the HRIS and approved by the Competent Authority identified in Appendix D against the applicable Grade and cost centre.</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5.2.2</w:t>
      </w:r>
      <w:r>
        <w:rPr>
          <w:rFonts w:ascii="Calibri" w:cs="Calibri" w:eastAsia="Calibri" w:hAnsi="Calibri"/>
          <w:sz w:val="20"/>
          <w:szCs w:val="20"/>
        </w:rPr>
        <w:t xml:space="preserve">	HR shall verify budgetary headcount availability prior to releasing an offer of employment, and no offer shall be construed as binding upon the Company until countersigned by the Competent Authority.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5.3</w:t>
      </w:r>
      <w:r>
        <w:rPr>
          <w:rFonts w:ascii="Calibri" w:cs="Calibri" w:eastAsia="Calibri" w:hAnsi="Calibri"/>
          <w:sz w:val="20"/>
          <w:szCs w:val="20"/>
        </w:rPr>
        <w:t xml:space="preserve">	Pre-employment due diligence. As a condition precedent to confirmation of an offer, a candidate shall be required to undergo, at the Company's discretion and cost, such background verification (including, without limitation, identity, address, educational qualification, employment history, criminal antecedent, and reference checks) as HR may deem appropriate; provided that any adverse action taken on the basis of such verification shall be communicated to the candidate together with a reasonable opportunity to respond, save where such opportunity is impracticable or inconsistent with applicable law.</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5.4</w:t>
      </w:r>
      <w:r>
        <w:rPr>
          <w:rFonts w:ascii="Calibri" w:cs="Calibri" w:eastAsia="Calibri" w:hAnsi="Calibri"/>
          <w:sz w:val="20"/>
          <w:szCs w:val="20"/>
        </w:rPr>
        <w:t xml:space="preserve">	Nepotism and related-party recruitment. A candidate related, within the meaning of Immediate Family or such wider degree as HR's Conflict of Interest guidelines may prescribe, to a serving Employee at Grade [●] or above shall not be recruited into a Position with a direct or indirect reporting relationship, whether upward or downward, to such Employee, save with the prior written approval of HR and disclosure in the Related-Party Register maintained under Clause 14.</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5.5</w:t>
      </w:r>
      <w:r>
        <w:rPr>
          <w:rFonts w:ascii="Calibri" w:cs="Calibri" w:eastAsia="Calibri" w:hAnsi="Calibri"/>
          <w:sz w:val="20"/>
          <w:szCs w:val="20"/>
        </w:rPr>
        <w:t xml:space="preserve">	Onboarding. Every new Employee shall, within the first thirty (30) Working Days of joining, complete: (a) statutory and mandatory training including the Code of Conduct and Anti-Harassment modules referred to in Clauses 13 and 15; (b) submission of documentation necessary for enrolment under the Act(s), including nomination forms for provident fund, gratuity, and group insurance; and (c) acknowledgement of this Policy in the form of Appendix E, without which access to certain systems and Benefits may be withheld at HR's discretion.</w:t>
      </w:r>
    </w:p>
    <w:p>
      <w:pPr>
        <w:pStyle w:val="Heading1"/>
        <w:pBdr>
          <w:bottom w:val="single" w:color="1F3864" w:sz="6" w:space="4"/>
        </w:pBdr>
        <w:spacing w:after="200" w:before="320"/>
      </w:pPr>
      <w:r>
        <w:rPr>
          <w:rFonts w:ascii="Calibri" w:cs="Calibri" w:eastAsia="Calibri" w:hAnsi="Calibri"/>
          <w:b/>
          <w:bCs/>
          <w:color w:val="1F3864"/>
          <w:sz w:val="26"/>
          <w:szCs w:val="26"/>
        </w:rPr>
        <w:t xml:space="preserve">6.  PROBATION, CONFIRMATION AND EXTENSION OF PROBATION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6.1</w:t>
      </w:r>
      <w:r>
        <w:rPr>
          <w:rFonts w:ascii="Calibri" w:cs="Calibri" w:eastAsia="Calibri" w:hAnsi="Calibri"/>
          <w:sz w:val="20"/>
          <w:szCs w:val="20"/>
        </w:rPr>
        <w:t xml:space="preserve">	Save as otherwise specified in an individual appointment letter, every Employee other than a Fixed-Term Employee shall be placed on probation for a period of six (6) months from the date of joining ("Probation Period").</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6.2</w:t>
      </w:r>
      <w:r>
        <w:rPr>
          <w:rFonts w:ascii="Calibri" w:cs="Calibri" w:eastAsia="Calibri" w:hAnsi="Calibri"/>
          <w:sz w:val="20"/>
          <w:szCs w:val="20"/>
        </w:rPr>
        <w:t xml:space="preserve">	The Reporting Manager shall conduct a documented probation review not later than thirty (30) days prior to the expiry of the Probation Period and shall recommend to HR one of the following: (a) confirmation; (b) extension of probation, for a further period not exceeding three (3) months, stating specific, measurable performance or conduct deficiencies and a remediation plan; or (c) discontinuation of service.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6.3</w:t>
      </w:r>
      <w:r>
        <w:rPr>
          <w:rFonts w:ascii="Calibri" w:cs="Calibri" w:eastAsia="Calibri" w:hAnsi="Calibri"/>
          <w:sz w:val="20"/>
          <w:szCs w:val="20"/>
        </w:rPr>
        <w:t xml:space="preserve">	In the absence of an express communication of confirmation, extension, or discontinuation prior to the expiry of the Probation Period (as extended, if applicable), the Probationary Employee shall not, by that fact alone, be deemed confirmed, and HR shall be entitled to complete the confirmation process within a reasonable further period not exceeding sixty (60) days, during which the Employee shall continue to be treated as a Probationary Employee for all purposes, unless a specific state law applicable to the establishment provides for deemed confirmation, in which event that state law shall prevail per Clause 3.4.</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6.4</w:t>
      </w:r>
      <w:r>
        <w:rPr>
          <w:rFonts w:ascii="Calibri" w:cs="Calibri" w:eastAsia="Calibri" w:hAnsi="Calibri"/>
          <w:sz w:val="20"/>
          <w:szCs w:val="20"/>
        </w:rPr>
        <w:t xml:space="preserve">	Services of a Probationary Employee may be discontinued at any time during the Probation Period (or extension thereof) by the Company giving notice, or Notice Pay in lieu thereof, of the duration specified in the Employee's appointment letter or, in the absence of such specification, fourteen (14) days, without assigning any reason and without recourse to the disciplinary procedure under Clause 23, save where the discontinuation is founded upon an allegation of Misconduct, in which event Clause 23 shall apply.</w:t>
      </w:r>
    </w:p>
    <w:p>
      <w:pPr>
        <w:pStyle w:val="Heading1"/>
        <w:pBdr>
          <w:bottom w:val="single" w:color="1F3864" w:sz="6" w:space="4"/>
        </w:pBdr>
        <w:spacing w:after="200" w:before="320"/>
      </w:pPr>
      <w:r>
        <w:rPr>
          <w:rFonts w:ascii="Calibri" w:cs="Calibri" w:eastAsia="Calibri" w:hAnsi="Calibri"/>
          <w:b/>
          <w:bCs/>
          <w:color w:val="1F3864"/>
          <w:sz w:val="26"/>
          <w:szCs w:val="26"/>
        </w:rPr>
        <w:t xml:space="preserve">7.  HOURS OF WORK, ATTENDANCE, OVERTIME AND HOLIDAYS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7.1</w:t>
      </w:r>
      <w:r>
        <w:rPr>
          <w:rFonts w:ascii="Calibri" w:cs="Calibri" w:eastAsia="Calibri" w:hAnsi="Calibri"/>
          <w:sz w:val="20"/>
          <w:szCs w:val="20"/>
        </w:rPr>
        <w:t xml:space="preserve">	The standard work week shall comprise five (5) or six (6) Working Days, as applicable to the relevant establishment and as notified by HR, with standard working hours of nine (9) hours inclusive of a one (1) hour meal break, subject to the ceiling on daily and weekly hours prescribed under the applicable Shops and Commercial Establishments Act or the Factories Act, 1948, as the case may be.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7.2</w:t>
      </w:r>
      <w:r>
        <w:rPr>
          <w:rFonts w:ascii="Calibri" w:cs="Calibri" w:eastAsia="Calibri" w:hAnsi="Calibri"/>
          <w:sz w:val="20"/>
          <w:szCs w:val="20"/>
        </w:rPr>
        <w:t xml:space="preserve">	Attendance shall be recorded through the Company's biometric, card-based, or electronic attendance system, as deployed at the relevant establishment, and an Employee's failure to correctly record attendance shall, absent a satisfactory explanation furnished within three (3) Working Days, be treated as unauthorised absence for the purposes of Clause 9.7 and Clause 23.</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7.2.1</w:t>
      </w:r>
      <w:r>
        <w:rPr>
          <w:rFonts w:ascii="Calibri" w:cs="Calibri" w:eastAsia="Calibri" w:hAnsi="Calibri"/>
          <w:sz w:val="20"/>
          <w:szCs w:val="20"/>
        </w:rPr>
        <w:t xml:space="preserve">	Late arrival or early departure beyond such grace period as HR may notify shall be aggregated on a monthly basis and may, beyond the threshold notified by HR from time to time, result in proportionate deduction of wages under the Payment of Wages Act, 1936 / Code on Wages, 2019, and/or initiation of the disciplinary procedure.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7.3</w:t>
      </w:r>
      <w:r>
        <w:rPr>
          <w:rFonts w:ascii="Calibri" w:cs="Calibri" w:eastAsia="Calibri" w:hAnsi="Calibri"/>
          <w:sz w:val="20"/>
          <w:szCs w:val="20"/>
        </w:rPr>
        <w:t xml:space="preserve">	Overtime. Where an Employee who is a "workman" within the meaning of the applicable Act is required to work beyond the standard hours prescribed in Clause 7.1, such Employee shall be compensated at the statutory overtime rate (ordinarily twice the ordinary rate of wages) prescribed under the Factories Act, 1948 or the corresponding provision of the applicable Shops and Commercial Establishments Act, subject to the statutory ceiling on total hours of work, including overtime, in a day or week. Managerial Employees shall not, save as otherwise required by applicable law, be entitled to overtime compensation, and any additional hours worked by such Employees shall be regarded as inherent to the responsibilities of their Position.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7.4</w:t>
      </w:r>
      <w:r>
        <w:rPr>
          <w:rFonts w:ascii="Calibri" w:cs="Calibri" w:eastAsia="Calibri" w:hAnsi="Calibri"/>
          <w:sz w:val="20"/>
          <w:szCs w:val="20"/>
        </w:rPr>
        <w:t xml:space="preserve">	Holidays. The Company shall, at each establishment, notify at the commencement of each calendar year a list of national, festival, and restricted holidays in accordance with the applicable Negotiable Instruments Act, 1881 notification and state-specific requirements, comprising not fewer than the statutory minimum number of paid holidays applicable to that establishment.</w:t>
      </w:r>
    </w:p>
    <w:p>
      <w:pPr>
        <w:pStyle w:val="Heading1"/>
        <w:pBdr>
          <w:bottom w:val="single" w:color="1F3864" w:sz="6" w:space="4"/>
        </w:pBdr>
        <w:spacing w:after="200" w:before="320"/>
      </w:pPr>
      <w:r>
        <w:rPr>
          <w:rFonts w:ascii="Calibri" w:cs="Calibri" w:eastAsia="Calibri" w:hAnsi="Calibri"/>
          <w:b/>
          <w:bCs/>
          <w:color w:val="1F3864"/>
          <w:sz w:val="26"/>
          <w:szCs w:val="26"/>
        </w:rPr>
        <w:t xml:space="preserve">8.  COMPENSATION, PAYROLL AND STATUTORY DEDUCTIONS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8.1</w:t>
      </w:r>
      <w:r>
        <w:rPr>
          <w:rFonts w:ascii="Calibri" w:cs="Calibri" w:eastAsia="Calibri" w:hAnsi="Calibri"/>
          <w:sz w:val="20"/>
          <w:szCs w:val="20"/>
        </w:rPr>
        <w:t xml:space="preserve">	Every Employee's compensation shall be structured into Fixed Pay, Variable Pay (if any), and Benefits, the aggregate of which constitutes CTC, as set out in the Employee's Compensation Letter, which shall be read as an integral part of, but shall prevail over, this Clause 8 in the event of any numerical inconsistency specific to that Employee.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8.2</w:t>
      </w:r>
      <w:r>
        <w:rPr>
          <w:rFonts w:ascii="Calibri" w:cs="Calibri" w:eastAsia="Calibri" w:hAnsi="Calibri"/>
          <w:sz w:val="20"/>
          <w:szCs w:val="20"/>
        </w:rPr>
        <w:t xml:space="preserve">	Wages shall be paid not later than the statutory wage period prescribed under the Code on Wages, 2019 (ordinarily the seventh day, or the tenth day where the establishment employs one thousand or more persons, of the succeeding wage period), by direct credit to the Employee's designated bank account.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8.3</w:t>
      </w:r>
      <w:r>
        <w:rPr>
          <w:rFonts w:ascii="Calibri" w:cs="Calibri" w:eastAsia="Calibri" w:hAnsi="Calibri"/>
          <w:sz w:val="20"/>
          <w:szCs w:val="20"/>
        </w:rPr>
        <w:t xml:space="preserve">	Deductions from wages shall be limited to those permitted under the Act(s), including: (a) statutory deductions (provident fund, employees' state insurance, professional tax, labour welfare fund, tax deducted at source); (b) deductions authorised in writing by the Employee (such as loan recoveries, insurance premia); (c) deductions on account of absence from duty, computed pro rata; and (d) deductions ordered pursuant to a disciplinary proceeding under Clause 23, in each case not exceeding, in aggregate, the statutory ceiling on permissible deductions.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8.4</w:t>
      </w:r>
      <w:r>
        <w:rPr>
          <w:rFonts w:ascii="Calibri" w:cs="Calibri" w:eastAsia="Calibri" w:hAnsi="Calibri"/>
          <w:sz w:val="20"/>
          <w:szCs w:val="20"/>
        </w:rPr>
        <w:t xml:space="preserve">	Variable Pay, where applicable to an Employee's Position, is discretionary, non-contractual, and subject to the Company's and the Employee's performance as assessed under Clause 11, and no Employee shall acquire a vested right to any specific quantum of Variable Pay by reason of its payment in a prior period.</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8.5</w:t>
      </w:r>
      <w:r>
        <w:rPr>
          <w:rFonts w:ascii="Calibri" w:cs="Calibri" w:eastAsia="Calibri" w:hAnsi="Calibri"/>
          <w:sz w:val="20"/>
          <w:szCs w:val="20"/>
        </w:rPr>
        <w:t xml:space="preserve">	Statutory bonus, where applicable, shall be computed and paid in accordance with the Payment of Bonus Act, 1965 to Employees drawing wages within the eligibility ceiling prescribed thereunder, and shall be in addition to, and not in lieu of, any Variable Pay under Clause 8.4 unless the Employee's Compensation Letter expressly provides for set-off.</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8.6</w:t>
      </w:r>
      <w:r>
        <w:rPr>
          <w:rFonts w:ascii="Calibri" w:cs="Calibri" w:eastAsia="Calibri" w:hAnsi="Calibri"/>
          <w:sz w:val="20"/>
          <w:szCs w:val="20"/>
        </w:rPr>
        <w:t xml:space="preserve">	Gratuity shall be payable in accordance with the Payment of Gratuity Act, 1972 / the Code on Social Security, 2020, upon termination of employment after not less than five (5) years of Continuous Service (save in case of death or disablement, where this threshold shall not apply), computed at fifteen (15) days' wages for every completed year of service or part thereof in excess of six (6) months, subject to the statutory ceiling.</w:t>
      </w:r>
    </w:p>
    <w:p>
      <w:pPr>
        <w:pStyle w:val="Heading1"/>
        <w:pBdr>
          <w:bottom w:val="single" w:color="1F3864" w:sz="6" w:space="4"/>
        </w:pBdr>
        <w:spacing w:after="200" w:before="320"/>
      </w:pPr>
      <w:r>
        <w:rPr>
          <w:rFonts w:ascii="Calibri" w:cs="Calibri" w:eastAsia="Calibri" w:hAnsi="Calibri"/>
          <w:b/>
          <w:bCs/>
          <w:color w:val="1F3864"/>
          <w:sz w:val="26"/>
          <w:szCs w:val="26"/>
        </w:rPr>
        <w:t xml:space="preserve">9.  LEAVE AND ABSENCE MANAGEMENT</w:t>
      </w:r>
    </w:p>
    <w:p>
      <w:pPr>
        <w:spacing w:after="160"/>
        <w:ind w:left="0"/>
      </w:pPr>
      <w:r>
        <w:rPr>
          <w:rFonts w:ascii="Calibri" w:cs="Calibri" w:eastAsia="Calibri" w:hAnsi="Calibri"/>
          <w:i/>
          <w:iCs/>
          <w:color w:val="444444"/>
          <w:sz w:val="20"/>
          <w:szCs w:val="20"/>
        </w:rPr>
        <w:t xml:space="preserve">This Clause 9 sets out the categories of leave available to Employees. Quantum of entitlement, accrual methodology, and carry-forward / encashment treatment by Grade are set out in the Leave Entitlement Matrix at Appendix A, which shall be read as part of this Clause.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9.1</w:t>
      </w:r>
      <w:r>
        <w:rPr>
          <w:rFonts w:ascii="Calibri" w:cs="Calibri" w:eastAsia="Calibri" w:hAnsi="Calibri"/>
          <w:sz w:val="20"/>
          <w:szCs w:val="20"/>
        </w:rPr>
        <w:t xml:space="preserve">	Casual Leave shall be credited at the commencement of each calendar year (or pro rata upon joining mid-year) and may be availed for short, unforeseen exigencies, subject to a maximum of three (3) consecutive Working Days without HR approval; Casual Leave shall not ordinarily be carried forward beyond the calendar year in which it accrues, save as Appendix A may otherwise provide for specific Grades.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9.2</w:t>
      </w:r>
      <w:r>
        <w:rPr>
          <w:rFonts w:ascii="Calibri" w:cs="Calibri" w:eastAsia="Calibri" w:hAnsi="Calibri"/>
          <w:sz w:val="20"/>
          <w:szCs w:val="20"/>
        </w:rPr>
        <w:t xml:space="preserve">	Sick Leave shall be credited annually and may be availed on account of the Employee's own illness; an application for Sick Leave exceeding three (3) consecutive Working Days shall be accompanied by a medical certificate from a registered medical practitioner, in default of which such absence may be treated as unauthorised absence and dealt with under Clause 7.2 and Clause 23, as applicable.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9.3</w:t>
      </w:r>
      <w:r>
        <w:rPr>
          <w:rFonts w:ascii="Calibri" w:cs="Calibri" w:eastAsia="Calibri" w:hAnsi="Calibri"/>
          <w:sz w:val="20"/>
          <w:szCs w:val="20"/>
        </w:rPr>
        <w:t xml:space="preserve">	Earned / Privilege Leave shall accrue on a pro-rata basis in accordance with the applicable Shops and Commercial Establishments Act or the Factories Act, 1948 (as the case may be), subject to a minimum statutory accrual rate, and may be accumulated up to the ceiling specified in Appendix A, beyond which further accrual shall lapse unless encashed in accordance with Clause 9.3.1.</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9.3.1</w:t>
      </w:r>
      <w:r>
        <w:rPr>
          <w:rFonts w:ascii="Calibri" w:cs="Calibri" w:eastAsia="Calibri" w:hAnsi="Calibri"/>
          <w:sz w:val="20"/>
          <w:szCs w:val="20"/>
        </w:rPr>
        <w:t xml:space="preserve">	Encashment of accumulated Earned / Privilege Leave, whether during service (subject to HR's annual encashment window) or upon separation, shall be computed at the Employee's last drawn Fixed Pay (or such component thereof as Appendix A specifies) and shall, upon separation, be included in the Full and Final Settlement under Clause 26.6.</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9.4</w:t>
      </w:r>
      <w:r>
        <w:rPr>
          <w:rFonts w:ascii="Calibri" w:cs="Calibri" w:eastAsia="Calibri" w:hAnsi="Calibri"/>
          <w:sz w:val="20"/>
          <w:szCs w:val="20"/>
        </w:rPr>
        <w:t xml:space="preserve">	Maternity, Paternity, and Adoption-related leave are governed by Clause 10.</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9.5</w:t>
      </w:r>
      <w:r>
        <w:rPr>
          <w:rFonts w:ascii="Calibri" w:cs="Calibri" w:eastAsia="Calibri" w:hAnsi="Calibri"/>
          <w:sz w:val="20"/>
          <w:szCs w:val="20"/>
        </w:rPr>
        <w:t xml:space="preserve">	Bereavement Leave of such duration as Appendix A specifies shall be available upon the death of a member of the Employee's Immediate Family, to be availed within a reasonable period of the bereavement.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9.6</w:t>
      </w:r>
      <w:r>
        <w:rPr>
          <w:rFonts w:ascii="Calibri" w:cs="Calibri" w:eastAsia="Calibri" w:hAnsi="Calibri"/>
          <w:sz w:val="20"/>
          <w:szCs w:val="20"/>
        </w:rPr>
        <w:t xml:space="preserve">	Leave Without Pay ("LWP") may be sanctioned by the Competent Authority, in its discretion, where an Employee has exhausted all applicable paid leave categories; provided that any period of LWP exceeding such threshold as HR may notify shall result in a corresponding break in, and adjustment of, the Employee's Continuous Service computation for Benefits that are contingent upon continuity of service, save to the extent applicable law provides otherwise.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9.7</w:t>
      </w:r>
      <w:r>
        <w:rPr>
          <w:rFonts w:ascii="Calibri" w:cs="Calibri" w:eastAsia="Calibri" w:hAnsi="Calibri"/>
          <w:sz w:val="20"/>
          <w:szCs w:val="20"/>
        </w:rPr>
        <w:t xml:space="preserve">	Unauthorised absence, being absence without prior approval and without subsequent regularisation to HR's satisfaction within seven (7) Working Days, may, in addition to being treated as LWP, be treated as Misconduct under Clause 23, and absence exceeding ten (10) consecutive Working Days without communication may, subject to the issuance of a show-cause notice to the Employee's last known address and registered email, be treated as constructive abandonment of service and processed as voluntary resignation without notice, without prejudice to the Company's right to instead pursue the disciplinary procedure.</w:t>
      </w:r>
    </w:p>
    <w:p>
      <w:pPr>
        <w:pStyle w:val="Heading1"/>
        <w:pBdr>
          <w:bottom w:val="single" w:color="1F3864" w:sz="6" w:space="4"/>
        </w:pBdr>
        <w:spacing w:after="200" w:before="320"/>
      </w:pPr>
      <w:r>
        <w:rPr>
          <w:rFonts w:ascii="Calibri" w:cs="Calibri" w:eastAsia="Calibri" w:hAnsi="Calibri"/>
          <w:b/>
          <w:bCs/>
          <w:color w:val="1F3864"/>
          <w:sz w:val="26"/>
          <w:szCs w:val="26"/>
        </w:rPr>
        <w:t xml:space="preserve">10.  MATERNITY, PATERNITY, ADOPTION AND RELATED FAMILY BENEFITS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10.1</w:t>
      </w:r>
      <w:r>
        <w:rPr>
          <w:rFonts w:ascii="Calibri" w:cs="Calibri" w:eastAsia="Calibri" w:hAnsi="Calibri"/>
          <w:sz w:val="20"/>
          <w:szCs w:val="20"/>
        </w:rPr>
        <w:t xml:space="preserve">	A female Employee who has worked for not less than eighty (80) days in the twelve (12) months immediately preceding the expected date of delivery shall be entitled to Maternity Leave of twenty-six (26) weeks (or twelve (12) weeks where she already has two or more surviving children), of which not more than eight (8) weeks may be availed prior to the expected date of delivery, in accordance with the Maternity Benefit Act, 1961, as amended.</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10.2</w:t>
      </w:r>
      <w:r>
        <w:rPr>
          <w:rFonts w:ascii="Calibri" w:cs="Calibri" w:eastAsia="Calibri" w:hAnsi="Calibri"/>
          <w:sz w:val="20"/>
          <w:szCs w:val="20"/>
        </w:rPr>
        <w:t xml:space="preserve">	A commissioning mother and an adopting mother (in respect of a child below the age of three months) shall be entitled to Maternity Leave of twelve (12) weeks from the date the child is handed over, in accordance with the Maternity Benefit Act, 1961.</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10.3</w:t>
      </w:r>
      <w:r>
        <w:rPr>
          <w:rFonts w:ascii="Calibri" w:cs="Calibri" w:eastAsia="Calibri" w:hAnsi="Calibri"/>
          <w:sz w:val="20"/>
          <w:szCs w:val="20"/>
        </w:rPr>
        <w:t xml:space="preserve">	Where the establishment employs fifty (50) or more Employees, the Company shall provide crèche facility (which may include a crèche-sharing or reimbursement arrangement) in accordance with Section 11A of the Maternity Benefit Act, 1961, and shall permit the mother four (4) visits a day to the crèche, including the interval for rest allowed to her.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10.4</w:t>
      </w:r>
      <w:r>
        <w:rPr>
          <w:rFonts w:ascii="Calibri" w:cs="Calibri" w:eastAsia="Calibri" w:hAnsi="Calibri"/>
          <w:sz w:val="20"/>
          <w:szCs w:val="20"/>
        </w:rPr>
        <w:t xml:space="preserve">	Paternity Leave of such duration as Appendix A specifies (not being less than any minimum the Company adopts as a matter of policy, since no central statutory entitlement currently exists for the private sector) shall be available to a male Employee upon the birth or adoption of a child, to be availed within a reasonable window of the event as HR may specify.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10.5</w:t>
      </w:r>
      <w:r>
        <w:rPr>
          <w:rFonts w:ascii="Calibri" w:cs="Calibri" w:eastAsia="Calibri" w:hAnsi="Calibri"/>
          <w:sz w:val="20"/>
          <w:szCs w:val="20"/>
        </w:rPr>
        <w:t xml:space="preserve">	No Employee shall be issued a notice of termination or discontinuation of service during the period of Maternity Leave, nor shall such notice, if issued prior to commencement of such leave, expire during that period, save where the termination is for Gross Misconduct following due process, in which event the Company shall proceed with particular caution and, wherever practicable, seek a legal opinion prior to acting.</w:t>
      </w:r>
    </w:p>
    <w:p>
      <w:pPr>
        <w:pStyle w:val="Heading1"/>
        <w:pBdr>
          <w:bottom w:val="single" w:color="1F3864" w:sz="6" w:space="4"/>
        </w:pBdr>
        <w:spacing w:after="200" w:before="320"/>
      </w:pPr>
      <w:r>
        <w:rPr>
          <w:rFonts w:ascii="Calibri" w:cs="Calibri" w:eastAsia="Calibri" w:hAnsi="Calibri"/>
          <w:b/>
          <w:bCs/>
          <w:color w:val="1F3864"/>
          <w:sz w:val="26"/>
          <w:szCs w:val="26"/>
        </w:rPr>
        <w:t xml:space="preserve">11.  PERFORMANCE MANAGEMENT AND APPRAISAL</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11.1</w:t>
      </w:r>
      <w:r>
        <w:rPr>
          <w:rFonts w:ascii="Calibri" w:cs="Calibri" w:eastAsia="Calibri" w:hAnsi="Calibri"/>
          <w:sz w:val="20"/>
          <w:szCs w:val="20"/>
        </w:rPr>
        <w:t xml:space="preserve">	The Company shall operate an annual (or such other periodicity as HR may notify) performance management cycle comprising goal-setting, at least one interim review, and a year-end appraisal, conducted through the HRIS.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11.2</w:t>
      </w:r>
      <w:r>
        <w:rPr>
          <w:rFonts w:ascii="Calibri" w:cs="Calibri" w:eastAsia="Calibri" w:hAnsi="Calibri"/>
          <w:sz w:val="20"/>
          <w:szCs w:val="20"/>
        </w:rPr>
        <w:t xml:space="preserve">	Ratings assigned under the performance management cycle shall be calibrated across comparable Positions and Grades by a moderation committee prior to finalisation, in order to mitigate rater bias, and no individual Reporting Manager's rating shall be treated as final until so calibrated.</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11.3</w:t>
      </w:r>
      <w:r>
        <w:rPr>
          <w:rFonts w:ascii="Calibri" w:cs="Calibri" w:eastAsia="Calibri" w:hAnsi="Calibri"/>
          <w:sz w:val="20"/>
          <w:szCs w:val="20"/>
        </w:rPr>
        <w:t xml:space="preserve">	An Employee who disagrees with a final performance rating may record their disagreement in the HRIS within fifteen (15) days of communication of the rating and may escalate the matter through the Grievance mechanism under Clause 24; provided that the mere pendency of such disagreement shall not, of itself, suspend any compensation or other decision consequential upon the rating, unless HR, in its discretion, determines otherwise.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11.4</w:t>
      </w:r>
      <w:r>
        <w:rPr>
          <w:rFonts w:ascii="Calibri" w:cs="Calibri" w:eastAsia="Calibri" w:hAnsi="Calibri"/>
          <w:sz w:val="20"/>
          <w:szCs w:val="20"/>
        </w:rPr>
        <w:t xml:space="preserve">	Sustained underperformance, evidenced by two or more consecutive below-expectation ratings, may result in the Employee being placed on a Performance Improvement Plan ("PIP") of a duration not less than thirty (30) days, specifying objective, measurable improvement criteria; failure to meet PIP criteria may, following review by HR and the Reporting Manager's next superior, result in separation on grounds of performance, processed in accordance with Clause 26 and not as a disciplinary matter under Clause 23, save where the underlying facts also independently constitute Misconduct.</w:t>
      </w:r>
    </w:p>
    <w:p>
      <w:pPr>
        <w:pStyle w:val="Heading1"/>
        <w:pBdr>
          <w:bottom w:val="single" w:color="1F3864" w:sz="6" w:space="4"/>
        </w:pBdr>
        <w:spacing w:after="200" w:before="320"/>
      </w:pPr>
      <w:r>
        <w:rPr>
          <w:rFonts w:ascii="Calibri" w:cs="Calibri" w:eastAsia="Calibri" w:hAnsi="Calibri"/>
          <w:b/>
          <w:bCs/>
          <w:color w:val="1F3864"/>
          <w:sz w:val="26"/>
          <w:szCs w:val="26"/>
        </w:rPr>
        <w:t xml:space="preserve">12.  TRAINING, DEVELOPMENT AND SUCCESSION PLANNING</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12.1</w:t>
      </w:r>
      <w:r>
        <w:rPr>
          <w:rFonts w:ascii="Calibri" w:cs="Calibri" w:eastAsia="Calibri" w:hAnsi="Calibri"/>
          <w:sz w:val="20"/>
          <w:szCs w:val="20"/>
        </w:rPr>
        <w:t xml:space="preserve">	The Company shall provide such statutory, functional, and behavioural training as is necessary to enable Employees to discharge their duties safely, competently, and in compliance with applicable law, including mandatory annual refresher training on the Code of Conduct and Anti-Harassment Policy.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12.2</w:t>
      </w:r>
      <w:r>
        <w:rPr>
          <w:rFonts w:ascii="Calibri" w:cs="Calibri" w:eastAsia="Calibri" w:hAnsi="Calibri"/>
          <w:sz w:val="20"/>
          <w:szCs w:val="20"/>
        </w:rPr>
        <w:t xml:space="preserve">	Where the Company sponsors an Employee for external education, certification, or training involving expenditure above such threshold as HR may notify, the Employee may be required to execute a Training Bond obligating reimbursement of a pro-rated portion of the cost in the event of voluntary resignation within a specified bond period not exceeding two (2) years from completion of the training, such bond being a reasonable pre-estimate of loss and not a penalty, in accordance with Section 74 of the Indian Contract Act, 1872.</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12.3</w:t>
      </w:r>
      <w:r>
        <w:rPr>
          <w:rFonts w:ascii="Calibri" w:cs="Calibri" w:eastAsia="Calibri" w:hAnsi="Calibri"/>
          <w:sz w:val="20"/>
          <w:szCs w:val="20"/>
        </w:rPr>
        <w:t xml:space="preserve">	The Company shall maintain a succession plan for Positions designated as business-critical, to be reviewed by the Board or its delegate not less than annually, without conferring upon any identified successor a right to appointment to the relevant Position.</w:t>
      </w:r>
    </w:p>
    <w:p>
      <w:pPr>
        <w:pStyle w:val="Heading1"/>
        <w:pBdr>
          <w:bottom w:val="single" w:color="1F3864" w:sz="6" w:space="4"/>
        </w:pBdr>
        <w:spacing w:after="200" w:before="320"/>
      </w:pPr>
      <w:r>
        <w:rPr>
          <w:rFonts w:ascii="Calibri" w:cs="Calibri" w:eastAsia="Calibri" w:hAnsi="Calibri"/>
          <w:b/>
          <w:bCs/>
          <w:color w:val="1F3864"/>
          <w:sz w:val="26"/>
          <w:szCs w:val="26"/>
        </w:rPr>
        <w:t xml:space="preserve">13.  CODE OF CONDUCT AND BUSINESS ETHICS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13.1</w:t>
      </w:r>
      <w:r>
        <w:rPr>
          <w:rFonts w:ascii="Calibri" w:cs="Calibri" w:eastAsia="Calibri" w:hAnsi="Calibri"/>
          <w:sz w:val="20"/>
          <w:szCs w:val="20"/>
        </w:rPr>
        <w:t xml:space="preserve">	Every Employee shall, at all times, act with integrity, honesty, and due diligence, and shall comply with all applicable law, this Policy, and the Company's internal financial controls, including in respect of expense reporting, gifts and hospitality, anti-bribery, and anti-corruption.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13.2</w:t>
      </w:r>
      <w:r>
        <w:rPr>
          <w:rFonts w:ascii="Calibri" w:cs="Calibri" w:eastAsia="Calibri" w:hAnsi="Calibri"/>
          <w:sz w:val="20"/>
          <w:szCs w:val="20"/>
        </w:rPr>
        <w:t xml:space="preserve">	Anti-bribery and anti-corruption. No Employee shall, directly or indirectly, offer, promise, give, solicit, or accept any bribe, kickback, or improper advantage, whether in cash or kind, to or from any person, including a government official, in connection with the Company's business, whether or not such conduct would independently constitute an offence under the Prevention of Corruption Act, 1988 or the Prevention of Money Laundering Act, 2002.</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13.3</w:t>
      </w:r>
      <w:r>
        <w:rPr>
          <w:rFonts w:ascii="Calibri" w:cs="Calibri" w:eastAsia="Calibri" w:hAnsi="Calibri"/>
          <w:sz w:val="20"/>
          <w:szCs w:val="20"/>
        </w:rPr>
        <w:t xml:space="preserve">	Gifts and hospitality of a value exceeding such threshold as HR notifies from time to time, whether given or received, shall be declared in the Gifts Register maintained by HR, and gifts from vendors, customers, or regulators exceeding such threshold shall, unless of a purely nominal or ceremonial nature, be either declined, surrendered to the Company, or approved in advance by the Competent Authority.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13.4</w:t>
      </w:r>
      <w:r>
        <w:rPr>
          <w:rFonts w:ascii="Calibri" w:cs="Calibri" w:eastAsia="Calibri" w:hAnsi="Calibri"/>
          <w:sz w:val="20"/>
          <w:szCs w:val="20"/>
        </w:rPr>
        <w:t xml:space="preserve">	Breach of this Clause 13 shall be treated as Misconduct, and, depending on gravity, may be treated as Gross Misconduct under Clause 23.6, without prejudice to any civil or criminal liability the Employee may separately incur.</w:t>
      </w:r>
    </w:p>
    <w:p>
      <w:pPr>
        <w:pStyle w:val="Heading1"/>
        <w:pBdr>
          <w:bottom w:val="single" w:color="1F3864" w:sz="6" w:space="4"/>
        </w:pBdr>
        <w:spacing w:after="200" w:before="320"/>
      </w:pPr>
      <w:r>
        <w:rPr>
          <w:rFonts w:ascii="Calibri" w:cs="Calibri" w:eastAsia="Calibri" w:hAnsi="Calibri"/>
          <w:b/>
          <w:bCs/>
          <w:color w:val="1F3864"/>
          <w:sz w:val="26"/>
          <w:szCs w:val="26"/>
        </w:rPr>
        <w:t xml:space="preserve">14.  CONFLICT OF INTEREST AND RELATED-PARTY TRANSACTIONS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14.1</w:t>
      </w:r>
      <w:r>
        <w:rPr>
          <w:rFonts w:ascii="Calibri" w:cs="Calibri" w:eastAsia="Calibri" w:hAnsi="Calibri"/>
          <w:sz w:val="20"/>
          <w:szCs w:val="20"/>
        </w:rPr>
        <w:t xml:space="preserve">	An Employee shall disclose, promptly and in writing to HR, any situation in which the Employee's personal, financial, or family interest conflicts, or reasonably appears to conflict, with the interest of the Company, including, without limitation: (a) a material financial interest in a competitor, supplier, or customer of the Company; (b) outside employment or directorship that competes with, or detracts from, the Employee's duties to the Company; and (c) the recruitment or supervisory scenarios addressed in Clause 5.4.</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14.2</w:t>
      </w:r>
      <w:r>
        <w:rPr>
          <w:rFonts w:ascii="Calibri" w:cs="Calibri" w:eastAsia="Calibri" w:hAnsi="Calibri"/>
          <w:sz w:val="20"/>
          <w:szCs w:val="20"/>
        </w:rPr>
        <w:t xml:space="preserve">	Upon disclosure under Clause 14.1, HR shall, in consultation with the Employee's Reporting Manager's next superior, determine appropriate mitigating measures, which may include recusal from specific decisions, reassignment of reporting lines, or, in cases of irreconcilable conflict, requiring the Employee to divest the conflicting interest as a condition of continued employment in the relevant Position.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14.3</w:t>
      </w:r>
      <w:r>
        <w:rPr>
          <w:rFonts w:ascii="Calibri" w:cs="Calibri" w:eastAsia="Calibri" w:hAnsi="Calibri"/>
          <w:sz w:val="20"/>
          <w:szCs w:val="20"/>
        </w:rPr>
        <w:t xml:space="preserve">	Failure to disclose a conflict of interest that a reasonable Employee in like circumstances ought to have disclosed shall itself constitute Misconduct under Clause 23, independent of whether the underlying conflict caused any actual detriment to the Company.</w:t>
      </w:r>
    </w:p>
    <w:p>
      <w:pPr>
        <w:pStyle w:val="Heading1"/>
        <w:pBdr>
          <w:bottom w:val="single" w:color="1F3864" w:sz="6" w:space="4"/>
        </w:pBdr>
        <w:spacing w:after="200" w:before="320"/>
      </w:pPr>
      <w:r>
        <w:rPr>
          <w:rFonts w:ascii="Calibri" w:cs="Calibri" w:eastAsia="Calibri" w:hAnsi="Calibri"/>
          <w:b/>
          <w:bCs/>
          <w:color w:val="1F3864"/>
          <w:sz w:val="26"/>
          <w:szCs w:val="26"/>
        </w:rPr>
        <w:t xml:space="preserve">15.  PREVENTION OF SEXUAL HARASSMENT AND ANTI-HARASSMENT COMPLIANCE (POSH)</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15.1</w:t>
      </w:r>
      <w:r>
        <w:rPr>
          <w:rFonts w:ascii="Calibri" w:cs="Calibri" w:eastAsia="Calibri" w:hAnsi="Calibri"/>
          <w:sz w:val="20"/>
          <w:szCs w:val="20"/>
        </w:rPr>
        <w:t xml:space="preserve">	The Company is committed to providing a workplace free from sexual harassment, in accordance with the Sexual Harassment of Women at Workplace (Prevention, Prohibition and Redressal) Act, 2013 ("POSH Act") and the rules made thereunder.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15.2</w:t>
      </w:r>
      <w:r>
        <w:rPr>
          <w:rFonts w:ascii="Calibri" w:cs="Calibri" w:eastAsia="Calibri" w:hAnsi="Calibri"/>
          <w:sz w:val="20"/>
          <w:szCs w:val="20"/>
        </w:rPr>
        <w:t xml:space="preserve">	The Company shall constitute an Internal Committee ("IC") at each establishment employing ten (10) or more Employees, chaired by a woman Employee in a senior position, comprising not fewer than two (2) Employee members committed to the cause of women or having relevant experience, and one (1) external member from a non-governmental organisation or associated with the cause of women, in accordance with Section 4 of the POSH Act.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15.3</w:t>
      </w:r>
      <w:r>
        <w:rPr>
          <w:rFonts w:ascii="Calibri" w:cs="Calibri" w:eastAsia="Calibri" w:hAnsi="Calibri"/>
          <w:sz w:val="20"/>
          <w:szCs w:val="20"/>
        </w:rPr>
        <w:t xml:space="preserve">	A complaint of sexual harassment may be filed with the IC within three (3) months of the incident (extendable by the IC for reasons recorded in writing, up to a further three (3) months), and the IC shall complete its inquiry within ninety (90) days of the complaint, and submit its report within ten (10) days thereof, in accordance with Sections 9, 11, and 13 of the POSH Act.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15.4</w:t>
      </w:r>
      <w:r>
        <w:rPr>
          <w:rFonts w:ascii="Calibri" w:cs="Calibri" w:eastAsia="Calibri" w:hAnsi="Calibri"/>
          <w:sz w:val="20"/>
          <w:szCs w:val="20"/>
        </w:rPr>
        <w:t xml:space="preserve">	Interim measures available to the complainant during the pendency of an inquiry include transfer of either party, grant of leave to the complainant up to three (3) months in addition to her regular leave entitlement, and such other relief as the IC may recommend under Section 12 of the POSH Act.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15.5</w:t>
      </w:r>
      <w:r>
        <w:rPr>
          <w:rFonts w:ascii="Calibri" w:cs="Calibri" w:eastAsia="Calibri" w:hAnsi="Calibri"/>
          <w:sz w:val="20"/>
          <w:szCs w:val="20"/>
        </w:rPr>
        <w:t xml:space="preserve">	A finding by the IC that the allegation is proved shall be treated as a finding of Gross Misconduct for the purposes of Clause 23.6, and the Company shall act upon the IC's recommendation as if it were a report of an inquiry conducted under Clause 23, subject to Section 13(3) of the POSH Act. A false or malicious complaint, if established as such by the IC following due inquiry (and not merely an unproved complaint), may itself be treated as Misconduct under Section 14 of the POSH Act.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15.6</w:t>
      </w:r>
      <w:r>
        <w:rPr>
          <w:rFonts w:ascii="Calibri" w:cs="Calibri" w:eastAsia="Calibri" w:hAnsi="Calibri"/>
          <w:sz w:val="20"/>
          <w:szCs w:val="20"/>
        </w:rPr>
        <w:t xml:space="preserve">	The Company shall submit an Annual Report in the format prescribed under the POSH Act to the District Officer, and shall disclose the number of complaints in its Annual Return / Board's Report as required under the Companies Act, 2013, where applicable.</w:t>
      </w:r>
    </w:p>
    <w:p>
      <w:pPr>
        <w:pStyle w:val="Heading1"/>
        <w:pBdr>
          <w:bottom w:val="single" w:color="1F3864" w:sz="6" w:space="4"/>
        </w:pBdr>
        <w:spacing w:after="200" w:before="320"/>
      </w:pPr>
      <w:r>
        <w:rPr>
          <w:rFonts w:ascii="Calibri" w:cs="Calibri" w:eastAsia="Calibri" w:hAnsi="Calibri"/>
          <w:b/>
          <w:bCs/>
          <w:color w:val="1F3864"/>
          <w:sz w:val="26"/>
          <w:szCs w:val="26"/>
        </w:rPr>
        <w:t xml:space="preserve">16.  EQUAL OPPORTUNITY, NON-DISCRIMINATION, AND DIVERSITY, EQUITY AND INCLUSION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16.1</w:t>
      </w:r>
      <w:r>
        <w:rPr>
          <w:rFonts w:ascii="Calibri" w:cs="Calibri" w:eastAsia="Calibri" w:hAnsi="Calibri"/>
          <w:sz w:val="20"/>
          <w:szCs w:val="20"/>
        </w:rPr>
        <w:t xml:space="preserve">	The Company is an equal opportunity employer and prohibits discrimination in recruitment, compensation, promotion, training, or any other term or condition of employment on the basis of religion, race, caste, sex, sexual orientation, gender identity or expression, disability, marital status, pregnancy, or any other characteristic protected under applicable law, including the Rights of Persons with Disabilities Act, 2016 and the Transgender Persons (Protection of Rights) Act, 2019.</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16.2</w:t>
      </w:r>
      <w:r>
        <w:rPr>
          <w:rFonts w:ascii="Calibri" w:cs="Calibri" w:eastAsia="Calibri" w:hAnsi="Calibri"/>
          <w:sz w:val="20"/>
          <w:szCs w:val="20"/>
        </w:rPr>
        <w:t xml:space="preserve">	The Company shall take reasonable steps to provide reasonable accommodation to Employees with disabilities, including modification of workstations, working hours, and job duties, to the extent such accommodation does not impose a disproportionate burden on the Company's operations, in accordance with the Rights of Persons with Disabilities Act, 2016.</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16.3</w:t>
      </w:r>
      <w:r>
        <w:rPr>
          <w:rFonts w:ascii="Calibri" w:cs="Calibri" w:eastAsia="Calibri" w:hAnsi="Calibri"/>
          <w:sz w:val="20"/>
          <w:szCs w:val="20"/>
        </w:rPr>
        <w:t xml:space="preserve">	The Company shall set, monitor, and periodically report against internal diversity metrics (including gender diversity at each Grade) to the Board or its delegated committee, without such metrics constituting a binding quota save to the extent mandated by applicable law.</w:t>
      </w:r>
    </w:p>
    <w:p>
      <w:pPr>
        <w:pStyle w:val="Heading1"/>
        <w:pBdr>
          <w:bottom w:val="single" w:color="1F3864" w:sz="6" w:space="4"/>
        </w:pBdr>
        <w:spacing w:after="200" w:before="320"/>
      </w:pPr>
      <w:r>
        <w:rPr>
          <w:rFonts w:ascii="Calibri" w:cs="Calibri" w:eastAsia="Calibri" w:hAnsi="Calibri"/>
          <w:b/>
          <w:bCs/>
          <w:color w:val="1F3864"/>
          <w:sz w:val="26"/>
          <w:szCs w:val="26"/>
        </w:rPr>
        <w:t xml:space="preserve">17.  HEALTH, SAFETY AND WELFARE AT WORKPLACE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17.1</w:t>
      </w:r>
      <w:r>
        <w:rPr>
          <w:rFonts w:ascii="Calibri" w:cs="Calibri" w:eastAsia="Calibri" w:hAnsi="Calibri"/>
          <w:sz w:val="20"/>
          <w:szCs w:val="20"/>
        </w:rPr>
        <w:t xml:space="preserve">	The Company shall, at each establishment, comply with applicable occupational health and safety requirements under the Factories Act, 1948, the Occupational Safety, Health and Working Conditions Code, 2020, and such other law as applies to that establishment, including in respect of fire safety, first aid, sanitation, ventilation, and emergency evacuation.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17.2</w:t>
      </w:r>
      <w:r>
        <w:rPr>
          <w:rFonts w:ascii="Calibri" w:cs="Calibri" w:eastAsia="Calibri" w:hAnsi="Calibri"/>
          <w:sz w:val="20"/>
          <w:szCs w:val="20"/>
        </w:rPr>
        <w:t xml:space="preserve">	Every Employee shall comply with safety instructions, use prescribed personal protective equipment where applicable, and immediately report any workplace hazard, near-miss, or accident to their Reporting Manager and to HR, and failure to do so may be treated as Misconduct.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17.3</w:t>
      </w:r>
      <w:r>
        <w:rPr>
          <w:rFonts w:ascii="Calibri" w:cs="Calibri" w:eastAsia="Calibri" w:hAnsi="Calibri"/>
          <w:sz w:val="20"/>
          <w:szCs w:val="20"/>
        </w:rPr>
        <w:t xml:space="preserve">	The Company shall maintain group medical insurance and group personal accident insurance for Employees at such sums insured as are notified from time to time, without prejudice to the Company's statutory obligations under the Employees' State Insurance Act, 1948 where applicable to a given Employee and establishment.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17.4</w:t>
      </w:r>
      <w:r>
        <w:rPr>
          <w:rFonts w:ascii="Calibri" w:cs="Calibri" w:eastAsia="Calibri" w:hAnsi="Calibri"/>
          <w:sz w:val="20"/>
          <w:szCs w:val="20"/>
        </w:rPr>
        <w:t xml:space="preserve">	A workplace injury shall be reported and processed in accordance with the Employees' Compensation Act, 1923 (in respect of Employees not covered under the Employees' State Insurance Act, 1948) or the Employees' State Insurance Act, 1948, as applicable, and HR shall render such assistance as is necessary to enable the affected Employee to access the applicable statutory benefit.</w:t>
      </w:r>
    </w:p>
    <w:p>
      <w:pPr>
        <w:pStyle w:val="Heading1"/>
        <w:pBdr>
          <w:bottom w:val="single" w:color="1F3864" w:sz="6" w:space="4"/>
        </w:pBdr>
        <w:spacing w:after="200" w:before="320"/>
      </w:pPr>
      <w:r>
        <w:rPr>
          <w:rFonts w:ascii="Calibri" w:cs="Calibri" w:eastAsia="Calibri" w:hAnsi="Calibri"/>
          <w:b/>
          <w:bCs/>
          <w:color w:val="1F3864"/>
          <w:sz w:val="26"/>
          <w:szCs w:val="26"/>
        </w:rPr>
        <w:t xml:space="preserve">18.  INFORMATION SECURITY, DATA PRIVACY AND CONFIDENTIALITY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18.1</w:t>
      </w:r>
      <w:r>
        <w:rPr>
          <w:rFonts w:ascii="Calibri" w:cs="Calibri" w:eastAsia="Calibri" w:hAnsi="Calibri"/>
          <w:sz w:val="20"/>
          <w:szCs w:val="20"/>
        </w:rPr>
        <w:t xml:space="preserve">	Every Employee shall comply with the Company's Information Security Policy and Data Privacy Policy (each incorporated herein by reference), including in respect of access controls, password hygiene, classification of information, and secure handling of personal data within the meaning of the Digital Personal Data Protection Act, 2023.</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18.2</w:t>
      </w:r>
      <w:r>
        <w:rPr>
          <w:rFonts w:ascii="Calibri" w:cs="Calibri" w:eastAsia="Calibri" w:hAnsi="Calibri"/>
          <w:sz w:val="20"/>
          <w:szCs w:val="20"/>
        </w:rPr>
        <w:t xml:space="preserve">	An Employee who processes personal data of colleagues, customers, or other data principals in the course of employment does so solely for legitimate business purposes on the Company's instructions and shall not use, disclose, or retain such data for any purpose extraneous to those instructions, whether during or after employment.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18.3</w:t>
      </w:r>
      <w:r>
        <w:rPr>
          <w:rFonts w:ascii="Calibri" w:cs="Calibri" w:eastAsia="Calibri" w:hAnsi="Calibri"/>
          <w:sz w:val="20"/>
          <w:szCs w:val="20"/>
        </w:rPr>
        <w:t xml:space="preserve">	Confidential Information includes, without limitation: business and financial information not publicly available; Trade Secrets; customer and vendor lists and pricing; unpublished product or strategy information; and personal data of Employees, customers, or other third parties. An Employee shall not, during employment or at any time thereafter, disclose or use Confidential Information otherwise than for the proper performance of the Employee's duties to the Company, save where disclosure is compelled by law, in which event the Employee shall, to the extent legally permissible, give the Company prior notice and an opportunity to seek a protective order.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18.4</w:t>
      </w:r>
      <w:r>
        <w:rPr>
          <w:rFonts w:ascii="Calibri" w:cs="Calibri" w:eastAsia="Calibri" w:hAnsi="Calibri"/>
          <w:sz w:val="20"/>
          <w:szCs w:val="20"/>
        </w:rPr>
        <w:t xml:space="preserve">	Upon separation, an Employee shall return all Company property and all copies (in any medium) of Confidential Information in the Employee's possession or control, and shall certify such return in the Full and Final Settlement documentation under Clause 26.6.</w:t>
      </w:r>
    </w:p>
    <w:p>
      <w:pPr>
        <w:pStyle w:val="Heading1"/>
        <w:pBdr>
          <w:bottom w:val="single" w:color="1F3864" w:sz="6" w:space="4"/>
        </w:pBdr>
        <w:spacing w:after="200" w:before="320"/>
      </w:pPr>
      <w:r>
        <w:rPr>
          <w:rFonts w:ascii="Calibri" w:cs="Calibri" w:eastAsia="Calibri" w:hAnsi="Calibri"/>
          <w:b/>
          <w:bCs/>
          <w:color w:val="1F3864"/>
          <w:sz w:val="26"/>
          <w:szCs w:val="26"/>
        </w:rPr>
        <w:t xml:space="preserve">19.  INTELLECTUAL PROPERTY AND INVENTIONS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19.1</w:t>
      </w:r>
      <w:r>
        <w:rPr>
          <w:rFonts w:ascii="Calibri" w:cs="Calibri" w:eastAsia="Calibri" w:hAnsi="Calibri"/>
          <w:sz w:val="20"/>
          <w:szCs w:val="20"/>
        </w:rPr>
        <w:t xml:space="preserve">	All work product, inventions, designs, discoveries, improvements, and works of authorship conceived, created, or reduced to practice by an Employee within the scope of employment, or using the Company's resources, time, or Confidential Information, shall belong exclusively to the Company, and the Employee hereby assigns, and undertakes to execute such further documents as may be necessary to perfect the assignment of, all right, title, and interest therein to the Company, to the extent permitted under the Copyright Act, 1957 and the Patents Act, 1970.</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19.2</w:t>
      </w:r>
      <w:r>
        <w:rPr>
          <w:rFonts w:ascii="Calibri" w:cs="Calibri" w:eastAsia="Calibri" w:hAnsi="Calibri"/>
          <w:sz w:val="20"/>
          <w:szCs w:val="20"/>
        </w:rPr>
        <w:t xml:space="preserve">	Where an Employee's duties do not ordinarily involve an inventive or creative function, but the Employee nonetheless conceives an invention using the Company's equipment, materials, or Confidential Information, Clause 19.1 shall apply mutatis mutandis, without prejudice to any statutory right to compensation the Employee may separately possess.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19.3</w:t>
      </w:r>
      <w:r>
        <w:rPr>
          <w:rFonts w:ascii="Calibri" w:cs="Calibri" w:eastAsia="Calibri" w:hAnsi="Calibri"/>
          <w:sz w:val="20"/>
          <w:szCs w:val="20"/>
        </w:rPr>
        <w:t xml:space="preserve">	An Employee shall promptly disclose to the Company any invention or work falling within Clause 19.1, and shall not file, or cause to be filed, any application for protection of intellectual property in respect thereof in the Employee's own name.</w:t>
      </w:r>
    </w:p>
    <w:p>
      <w:pPr>
        <w:pStyle w:val="Heading1"/>
        <w:pBdr>
          <w:bottom w:val="single" w:color="1F3864" w:sz="6" w:space="4"/>
        </w:pBdr>
        <w:spacing w:after="200" w:before="320"/>
      </w:pPr>
      <w:r>
        <w:rPr>
          <w:rFonts w:ascii="Calibri" w:cs="Calibri" w:eastAsia="Calibri" w:hAnsi="Calibri"/>
          <w:b/>
          <w:bCs/>
          <w:color w:val="1F3864"/>
          <w:sz w:val="26"/>
          <w:szCs w:val="26"/>
        </w:rPr>
        <w:t xml:space="preserve">20.  USE OF INFORMATION TECHNOLOGY RESOURCES, EMAIL, INTERNET AND SOCIAL MEDIA</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20.1</w:t>
      </w:r>
      <w:r>
        <w:rPr>
          <w:rFonts w:ascii="Calibri" w:cs="Calibri" w:eastAsia="Calibri" w:hAnsi="Calibri"/>
          <w:sz w:val="20"/>
          <w:szCs w:val="20"/>
        </w:rPr>
        <w:t xml:space="preserve">	IT resources (including email, internet access, and end-user devices) are provided for legitimate business purposes; incidental and reasonable personal use is permitted provided it does not interfere with the Employee's duties, consume disproportionate resources, or violate this Policy or applicable law.</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20.2</w:t>
      </w:r>
      <w:r>
        <w:rPr>
          <w:rFonts w:ascii="Calibri" w:cs="Calibri" w:eastAsia="Calibri" w:hAnsi="Calibri"/>
          <w:sz w:val="20"/>
          <w:szCs w:val="20"/>
        </w:rPr>
        <w:t xml:space="preserve">	The Company reserves the right to monitor, access, and review the use of its IT resources, including email traffic and internet usage logs, to the extent permitted under applicable law and the Company's Information Security Policy, and an Employee shall have no expectation of privacy in respect of communications made using Company-provided IT resources, save to the extent applicable data protection law otherwise requires.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20.3</w:t>
      </w:r>
      <w:r>
        <w:rPr>
          <w:rFonts w:ascii="Calibri" w:cs="Calibri" w:eastAsia="Calibri" w:hAnsi="Calibri"/>
          <w:sz w:val="20"/>
          <w:szCs w:val="20"/>
        </w:rPr>
        <w:t xml:space="preserve">	An Employee shall not, using Company IT resources or otherwise in a manner identifiable with the Company, transmit, download, or store unlawful, defamatory, obscene, or discriminatory content, nor use social media in a manner that discloses Confidential Information, disparages the Company, or purports to represent the Company's official position without authorisation.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20.4</w:t>
      </w:r>
      <w:r>
        <w:rPr>
          <w:rFonts w:ascii="Calibri" w:cs="Calibri" w:eastAsia="Calibri" w:hAnsi="Calibri"/>
          <w:sz w:val="20"/>
          <w:szCs w:val="20"/>
        </w:rPr>
        <w:t xml:space="preserve">	Personal use of social media, even outside working hours and on personal devices, that is reasonably likely to bring the Company into disrepute, or that violates Clause 15 or Clause 16, may be treated as Misconduct notwithstanding that it did not occur on Company premises or using Company resources.</w:t>
      </w:r>
    </w:p>
    <w:p>
      <w:pPr>
        <w:pStyle w:val="Heading1"/>
        <w:pBdr>
          <w:bottom w:val="single" w:color="1F3864" w:sz="6" w:space="4"/>
        </w:pBdr>
        <w:spacing w:after="200" w:before="320"/>
      </w:pPr>
      <w:r>
        <w:rPr>
          <w:rFonts w:ascii="Calibri" w:cs="Calibri" w:eastAsia="Calibri" w:hAnsi="Calibri"/>
          <w:b/>
          <w:bCs/>
          <w:color w:val="1F3864"/>
          <w:sz w:val="26"/>
          <w:szCs w:val="26"/>
        </w:rPr>
        <w:t xml:space="preserve">21.  REMOTE WORK, HYBRID WORK AND BRING-YOUR-OWN-DEVICE (BYOD)</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21.1</w:t>
      </w:r>
      <w:r>
        <w:rPr>
          <w:rFonts w:ascii="Calibri" w:cs="Calibri" w:eastAsia="Calibri" w:hAnsi="Calibri"/>
          <w:sz w:val="20"/>
          <w:szCs w:val="20"/>
        </w:rPr>
        <w:t xml:space="preserve">	Where an Employee's Position is designated as eligible for remote or hybrid work under the Company's Flexible Working Guidelines, the Employee shall continue to be bound by this Policy, including the hours of work under Clause 7, in respect of work performed from a remote location.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21.2</w:t>
      </w:r>
      <w:r>
        <w:rPr>
          <w:rFonts w:ascii="Calibri" w:cs="Calibri" w:eastAsia="Calibri" w:hAnsi="Calibri"/>
          <w:sz w:val="20"/>
          <w:szCs w:val="20"/>
        </w:rPr>
        <w:t xml:space="preserve">	An Employee working remotely shall ensure a safe and ergonomic workspace, shall comply with the Company's Information Security Policy in respect of secure network connections and device encryption, and shall promptly report any security incident occurring at the remote location.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21.3</w:t>
      </w:r>
      <w:r>
        <w:rPr>
          <w:rFonts w:ascii="Calibri" w:cs="Calibri" w:eastAsia="Calibri" w:hAnsi="Calibri"/>
          <w:sz w:val="20"/>
          <w:szCs w:val="20"/>
        </w:rPr>
        <w:t xml:space="preserve">	Where an Employee uses a personal device (BYOD) to access Company systems, such use shall be subject to enrolment of the device in the Company's mobile device management system and the Employee's consent to remote wipe of Company data (and only Company data, to the extent technically segregable) upon separation or upon a security incident.</w:t>
      </w:r>
    </w:p>
    <w:p>
      <w:pPr>
        <w:pStyle w:val="Heading1"/>
        <w:pBdr>
          <w:bottom w:val="single" w:color="1F3864" w:sz="6" w:space="4"/>
        </w:pBdr>
        <w:spacing w:after="200" w:before="320"/>
      </w:pPr>
      <w:r>
        <w:rPr>
          <w:rFonts w:ascii="Calibri" w:cs="Calibri" w:eastAsia="Calibri" w:hAnsi="Calibri"/>
          <w:b/>
          <w:bCs/>
          <w:color w:val="1F3864"/>
          <w:sz w:val="26"/>
          <w:szCs w:val="26"/>
        </w:rPr>
        <w:t xml:space="preserve">22.  TRAVEL, DEPUTATION AND REIMBURSEMENT OF EXPENSES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22.1</w:t>
      </w:r>
      <w:r>
        <w:rPr>
          <w:rFonts w:ascii="Calibri" w:cs="Calibri" w:eastAsia="Calibri" w:hAnsi="Calibri"/>
          <w:sz w:val="20"/>
          <w:szCs w:val="20"/>
        </w:rPr>
        <w:t xml:space="preserve">	Business travel shall be undertaken in accordance with the entitlement matrix (class of travel, hotel category, and per diem) applicable to the Employee's Grade, as notified by HR / Finance from time to time and incorporated herein by reference.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22.2</w:t>
      </w:r>
      <w:r>
        <w:rPr>
          <w:rFonts w:ascii="Calibri" w:cs="Calibri" w:eastAsia="Calibri" w:hAnsi="Calibri"/>
          <w:sz w:val="20"/>
          <w:szCs w:val="20"/>
        </w:rPr>
        <w:t xml:space="preserve">	Claims for reimbursement of travel and other business expenses shall be submitted through the Company's expense management system within thirty (30) days of the expense being incurred, supported by original invoices or such other evidence as Finance may require, in default of which the claim may lapse or be subject to enhanced scrutiny.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22.3</w:t>
      </w:r>
      <w:r>
        <w:rPr>
          <w:rFonts w:ascii="Calibri" w:cs="Calibri" w:eastAsia="Calibri" w:hAnsi="Calibri"/>
          <w:sz w:val="20"/>
          <w:szCs w:val="20"/>
        </w:rPr>
        <w:t xml:space="preserve">	Deputation of an Employee to a location other than their base location for a continuous period exceeding ninety (90) days shall be governed by a separate deputation letter specifying applicable allowances, which letter shall, for the duration of the deputation, be read together with and, in case of conflict, prevail over this Clause 22.</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22.4</w:t>
      </w:r>
      <w:r>
        <w:rPr>
          <w:rFonts w:ascii="Calibri" w:cs="Calibri" w:eastAsia="Calibri" w:hAnsi="Calibri"/>
          <w:sz w:val="20"/>
          <w:szCs w:val="20"/>
        </w:rPr>
        <w:t xml:space="preserve">	Submission of a false, inflated, or unsubstantiated expense claim shall be treated as Misconduct under Clause 23 and, depending on the amount and intent involved, may be treated as Gross Misconduct under Clause 23.6.</w:t>
      </w:r>
    </w:p>
    <w:p>
      <w:pPr>
        <w:pStyle w:val="Heading1"/>
        <w:pBdr>
          <w:bottom w:val="single" w:color="1F3864" w:sz="6" w:space="4"/>
        </w:pBdr>
        <w:spacing w:after="200" w:before="320"/>
      </w:pPr>
      <w:r>
        <w:rPr>
          <w:rFonts w:ascii="Calibri" w:cs="Calibri" w:eastAsia="Calibri" w:hAnsi="Calibri"/>
          <w:b/>
          <w:bCs/>
          <w:color w:val="1F3864"/>
          <w:sz w:val="26"/>
          <w:szCs w:val="26"/>
        </w:rPr>
        <w:t xml:space="preserve">23.  DISCIPLINARY PROCEDURE AND CLASSIFICATION OF MISCONDUCT</w:t>
      </w:r>
    </w:p>
    <w:p>
      <w:pPr>
        <w:spacing w:after="160"/>
        <w:ind w:left="0"/>
      </w:pPr>
      <w:r>
        <w:rPr>
          <w:rFonts w:ascii="Calibri" w:cs="Calibri" w:eastAsia="Calibri" w:hAnsi="Calibri"/>
          <w:i/>
          <w:iCs/>
          <w:color w:val="444444"/>
          <w:sz w:val="20"/>
          <w:szCs w:val="20"/>
        </w:rPr>
        <w:t xml:space="preserve">The classification of Misconduct into minor, major, and gross categories, and the range of consequential actions ordinarily attracted by each, is set out in the Disciplinary Action Matrix at Appendix C; the illustrations in Clause 23.6 are illustrative, not exhaustive, and the Disciplinary Authority retains discretion, having regard to the totality of circumstances (including aggravating and mitigating factors), to depart from the indicative matrix for reasons recorded in writing.</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23.1</w:t>
      </w:r>
      <w:r>
        <w:rPr>
          <w:rFonts w:ascii="Calibri" w:cs="Calibri" w:eastAsia="Calibri" w:hAnsi="Calibri"/>
          <w:sz w:val="20"/>
          <w:szCs w:val="20"/>
        </w:rPr>
        <w:t xml:space="preserve">	Upon receipt of a complaint or upon the Company otherwise becoming aware of a suspected act of Misconduct, HR shall conduct a preliminary assessment to determine whether the matter warrants a formal disciplinary inquiry, informal counselling, or no further action.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23.2</w:t>
      </w:r>
      <w:r>
        <w:rPr>
          <w:rFonts w:ascii="Calibri" w:cs="Calibri" w:eastAsia="Calibri" w:hAnsi="Calibri"/>
          <w:sz w:val="20"/>
          <w:szCs w:val="20"/>
        </w:rPr>
        <w:t xml:space="preserve">	Where a formal inquiry is warranted, the Company shall issue a written charge-sheet or show-cause notice to the Employee, setting out the specific allegation(s), the provision(s) of this Policy alleged to have been contravened, and calling upon the Employee to submit a written explanation within a reasonable period, not ordinarily less than three (3) Working Days.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23.3</w:t>
      </w:r>
      <w:r>
        <w:rPr>
          <w:rFonts w:ascii="Calibri" w:cs="Calibri" w:eastAsia="Calibri" w:hAnsi="Calibri"/>
          <w:sz w:val="20"/>
          <w:szCs w:val="20"/>
        </w:rPr>
        <w:t xml:space="preserve">	Where the Employee's explanation is unsatisfactory, or where the matter otherwise requires, the Disciplinary Authority may appoint an Inquiry Officer (who shall not be a witness to, or complainant in, the matter) to conduct a domestic inquiry, at which the Employee shall be entitled to: (a) reasonable prior notice of the date, time, and venue of the inquiry; (b) inspection of relevant documents relied upon by the Company, subject to redaction of third-party confidential or personal data; (c) the right to present a defence, examine and cross-examine witnesses; and (d) the right to be accompanied by a co-Employee (not being a legal practitioner, save where the Company is itself represented by a legal practitioner or where applicable law otherwise requires).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23.4</w:t>
      </w:r>
      <w:r>
        <w:rPr>
          <w:rFonts w:ascii="Calibri" w:cs="Calibri" w:eastAsia="Calibri" w:hAnsi="Calibri"/>
          <w:sz w:val="20"/>
          <w:szCs w:val="20"/>
        </w:rPr>
        <w:t xml:space="preserve">	The Inquiry Officer shall submit a reasoned report recording findings on each charge, based on the preponderance of evidence, and shall forward the same to the Disciplinary Authority, which shall independently apply its mind to the findings before determining the consequential action.</w:t>
      </w:r>
    </w:p>
    <w:p>
      <w:pPr>
        <w:tabs>
          <w:tab w:val="left" w:pos="1020"/>
          <w:tab w:val="left" w:pos="1420"/>
          <w:tab w:val="left" w:pos="1820"/>
        </w:tabs>
        <w:spacing w:after="140" w:line="288" w:lineRule="auto"/>
        <w:ind w:left="1020" w:hanging="1020"/>
      </w:pPr>
      <w:r>
        <w:rPr>
          <w:rFonts w:ascii="Calibri" w:cs="Calibri" w:eastAsia="Calibri" w:hAnsi="Calibri"/>
          <w:b/>
          <w:bCs/>
          <w:sz w:val="20"/>
          <w:szCs w:val="20"/>
        </w:rPr>
        <w:t xml:space="preserve">23.4.1</w:t>
      </w:r>
      <w:r>
        <w:rPr>
          <w:rFonts w:ascii="Calibri" w:cs="Calibri" w:eastAsia="Calibri" w:hAnsi="Calibri"/>
          <w:sz w:val="20"/>
          <w:szCs w:val="20"/>
        </w:rPr>
        <w:t xml:space="preserve">	Where the Disciplinary Authority proposes to impose a punishment of dismissal, discharge, or reduction in rank, it shall, prior to imposing such punishment, give the Employee a further opportunity to make representations on the proposed punishment (a "second show-cause notice"), save where applicable law or binding precedent dispenses with this requirement in the circumstances of the case.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23.5</w:t>
      </w:r>
      <w:r>
        <w:rPr>
          <w:rFonts w:ascii="Calibri" w:cs="Calibri" w:eastAsia="Calibri" w:hAnsi="Calibri"/>
          <w:sz w:val="20"/>
          <w:szCs w:val="20"/>
        </w:rPr>
        <w:t xml:space="preserve">	Interim suspension. Where the alleged Misconduct is of a serious nature such that the Employee's continued presence at the workplace during the pendency of inquiry is considered by the Disciplinary Authority to be prejudicial to the inquiry, to the safety of other Employees, or to the Company's interests, the Employee may be placed under suspension pending inquiry, during which period the Employee shall be paid subsistence allowance in accordance with applicable law (ordinarily fifty per cent (50%) of Fixed Pay for the first ninety (90) days, and seventy-five per cent (75%) thereafter, subject to the Employee's cooperation with the inquiry).</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23.6</w:t>
      </w:r>
      <w:r>
        <w:rPr>
          <w:rFonts w:ascii="Calibri" w:cs="Calibri" w:eastAsia="Calibri" w:hAnsi="Calibri"/>
          <w:sz w:val="20"/>
          <w:szCs w:val="20"/>
        </w:rPr>
        <w:t xml:space="preserve">	Without limiting the generality of the definition of "Misconduct" in Clause 2, the following, if established, shall ordinarily be treated as Gross Misconduct warranting summary dismissal without notice, subject always to the process in Clauses 23.2 to 23.4: (a) theft, fraud, or dishonesty in connection with the Company's business or property; (b) proven sexual harassment under Clause 15; (c) violence, or threat of violence, at the workplace; (d) unauthorised disclosure of Confidential Information causing, or likely to cause, material harm to the Company; (e) being under the influence of alcohol or a prohibited substance at the workplace such as to impair the Employee's ability to safely or competently perform their duties; (f) conviction for an offence involving moral turpitude; (g) falsification of Company records, including expense claims and attendance records; and (h) gross insubordination or wilful defiance of lawful and reasonable instructions.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23.7</w:t>
      </w:r>
      <w:r>
        <w:rPr>
          <w:rFonts w:ascii="Calibri" w:cs="Calibri" w:eastAsia="Calibri" w:hAnsi="Calibri"/>
          <w:sz w:val="20"/>
          <w:szCs w:val="20"/>
        </w:rPr>
        <w:t xml:space="preserve">	A written record of the disciplinary proceeding, the inquiry report, and the final order shall be maintained by HR for such period as the Act(s) and the Company's Records Retention Policy require.</w:t>
      </w:r>
    </w:p>
    <w:p>
      <w:pPr>
        <w:pStyle w:val="Heading1"/>
        <w:pBdr>
          <w:bottom w:val="single" w:color="1F3864" w:sz="6" w:space="4"/>
        </w:pBdr>
        <w:spacing w:after="200" w:before="320"/>
      </w:pPr>
      <w:r>
        <w:rPr>
          <w:rFonts w:ascii="Calibri" w:cs="Calibri" w:eastAsia="Calibri" w:hAnsi="Calibri"/>
          <w:b/>
          <w:bCs/>
          <w:color w:val="1F3864"/>
          <w:sz w:val="26"/>
          <w:szCs w:val="26"/>
        </w:rPr>
        <w:t xml:space="preserve">24.  GRIEVANCE REDRESSAL MECHANISM</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24.1</w:t>
      </w:r>
      <w:r>
        <w:rPr>
          <w:rFonts w:ascii="Calibri" w:cs="Calibri" w:eastAsia="Calibri" w:hAnsi="Calibri"/>
          <w:sz w:val="20"/>
          <w:szCs w:val="20"/>
        </w:rPr>
        <w:t xml:space="preserve">	An Employee aggrieved by a decision or action (other than a matter falling squarely within the disciplinary procedure under Clause 23 or the POSH mechanism under Clause 15, each of which has its own dedicated process) may raise a grievance, in the first instance, with the Reporting Manager, who shall respond within seven (7) Working Days.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24.2</w:t>
      </w:r>
      <w:r>
        <w:rPr>
          <w:rFonts w:ascii="Calibri" w:cs="Calibri" w:eastAsia="Calibri" w:hAnsi="Calibri"/>
          <w:sz w:val="20"/>
          <w:szCs w:val="20"/>
        </w:rPr>
        <w:t xml:space="preserve">	If unresolved, or if the grievance concerns the Reporting Manager, the Employee may escalate the grievance to HR Business Partner assigned to the Employee's function, who shall convene, where necessary, a Grievance Redressal Committee and respond within fifteen (15) Working Days.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24.3</w:t>
      </w:r>
      <w:r>
        <w:rPr>
          <w:rFonts w:ascii="Calibri" w:cs="Calibri" w:eastAsia="Calibri" w:hAnsi="Calibri"/>
          <w:sz w:val="20"/>
          <w:szCs w:val="20"/>
        </w:rPr>
        <w:t xml:space="preserve">	Where the establishment employs twenty (20) or more workmen, the Company shall constitute a Grievance Redressal Committee in accordance with Section 9-C of the Industrial Disputes Act, 1947 (or the corresponding provision of the Industrial Relations Code, 2020), comprising equal representation of the employer and workmen, not exceeding six (6) members, and any grievance not resolved by such committee within thirty (30) days may be referred by the workman to the appropriate conciliation machinery under that Act.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24.4</w:t>
      </w:r>
      <w:r>
        <w:rPr>
          <w:rFonts w:ascii="Calibri" w:cs="Calibri" w:eastAsia="Calibri" w:hAnsi="Calibri"/>
          <w:sz w:val="20"/>
          <w:szCs w:val="20"/>
        </w:rPr>
        <w:t xml:space="preserve">	A final decision of the Reviewing Authority under this Clause 24 shall be communicated in writing, and shall not preclude the Employee from pursuing any statutory remedy available under the Act(s).</w:t>
      </w:r>
    </w:p>
    <w:p>
      <w:pPr>
        <w:pStyle w:val="Heading1"/>
        <w:pBdr>
          <w:bottom w:val="single" w:color="1F3864" w:sz="6" w:space="4"/>
        </w:pBdr>
        <w:spacing w:after="200" w:before="320"/>
      </w:pPr>
      <w:r>
        <w:rPr>
          <w:rFonts w:ascii="Calibri" w:cs="Calibri" w:eastAsia="Calibri" w:hAnsi="Calibri"/>
          <w:b/>
          <w:bCs/>
          <w:color w:val="1F3864"/>
          <w:sz w:val="26"/>
          <w:szCs w:val="26"/>
        </w:rPr>
        <w:t xml:space="preserve">25.  WHISTLEBLOWER POLICY AND VIGIL MECHANISM</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25.1</w:t>
      </w:r>
      <w:r>
        <w:rPr>
          <w:rFonts w:ascii="Calibri" w:cs="Calibri" w:eastAsia="Calibri" w:hAnsi="Calibri"/>
          <w:sz w:val="20"/>
          <w:szCs w:val="20"/>
        </w:rPr>
        <w:t xml:space="preserve">	The Company maintains a Vigil Mechanism / Whistleblower Policy, incorporated herein by reference, through which an Employee may report, in good faith, a suspected violation of law, this Policy, or the Company's Code of Conduct, including suspected financial irregularity, fraud, or unethical conduct.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25.2</w:t>
      </w:r>
      <w:r>
        <w:rPr>
          <w:rFonts w:ascii="Calibri" w:cs="Calibri" w:eastAsia="Calibri" w:hAnsi="Calibri"/>
          <w:sz w:val="20"/>
          <w:szCs w:val="20"/>
        </w:rPr>
        <w:t xml:space="preserve">	A report made in good faith under the Whistleblower Policy shall be treated as protected disclosure, and no Employee shall be subjected to retaliation, victimisation, or adverse employment action for having made such a disclosure; any act of retaliation shall itself be treated as Gross Misconduct under Clause 23.6.</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25.3</w:t>
      </w:r>
      <w:r>
        <w:rPr>
          <w:rFonts w:ascii="Calibri" w:cs="Calibri" w:eastAsia="Calibri" w:hAnsi="Calibri"/>
          <w:sz w:val="20"/>
          <w:szCs w:val="20"/>
        </w:rPr>
        <w:t xml:space="preserve">	A report found, after due inquiry, to have been made maliciously or with knowledge of its falsity may be treated as Misconduct under Clause 23, without prejudice to the whistleblower's protection in respect of any other, bona fide, aspect of the disclosure.</w:t>
      </w:r>
    </w:p>
    <w:p>
      <w:pPr>
        <w:pStyle w:val="Heading1"/>
        <w:pBdr>
          <w:bottom w:val="single" w:color="1F3864" w:sz="6" w:space="4"/>
        </w:pBdr>
        <w:spacing w:after="200" w:before="320"/>
      </w:pPr>
      <w:r>
        <w:rPr>
          <w:rFonts w:ascii="Calibri" w:cs="Calibri" w:eastAsia="Calibri" w:hAnsi="Calibri"/>
          <w:b/>
          <w:bCs/>
          <w:color w:val="1F3864"/>
          <w:sz w:val="26"/>
          <w:szCs w:val="26"/>
        </w:rPr>
        <w:t xml:space="preserve">26.  SEPARATION: RESIGNATION, TERMINATION, RETIREMENT AND FULL AND FINAL SETTLEMENT</w:t>
      </w:r>
    </w:p>
    <w:p>
      <w:pPr>
        <w:spacing w:after="160"/>
        <w:ind w:left="0"/>
      </w:pPr>
      <w:r>
        <w:rPr>
          <w:rFonts w:ascii="Calibri" w:cs="Calibri" w:eastAsia="Calibri" w:hAnsi="Calibri"/>
          <w:i/>
          <w:iCs/>
          <w:color w:val="444444"/>
          <w:sz w:val="20"/>
          <w:szCs w:val="20"/>
        </w:rPr>
        <w:t xml:space="preserve">Notice periods applicable by Grade and category of Employee are set out in the Notice Period Matrix at Appendix B.</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26.1</w:t>
      </w:r>
      <w:r>
        <w:rPr>
          <w:rFonts w:ascii="Calibri" w:cs="Calibri" w:eastAsia="Calibri" w:hAnsi="Calibri"/>
          <w:sz w:val="20"/>
          <w:szCs w:val="20"/>
        </w:rPr>
        <w:t xml:space="preserve">	An Employee may resign by submitting written resignation to the Reporting Manager and HR, specifying the last working day, and shall serve the notice period specified in Appendix B (or pay Notice Pay in lieu thereof, at the Company's discretion whether to accept payment in lieu or to require service of notice, having regard to business requirements and knowledge transfer).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26.2</w:t>
      </w:r>
      <w:r>
        <w:rPr>
          <w:rFonts w:ascii="Calibri" w:cs="Calibri" w:eastAsia="Calibri" w:hAnsi="Calibri"/>
          <w:sz w:val="20"/>
          <w:szCs w:val="20"/>
        </w:rPr>
        <w:t xml:space="preserve">	The Company may terminate an Employee's services on non-disciplinary grounds (including redundancy, restructuring, or, in respect of a workman, retrenchment within the meaning of Section 2(oo) of the Industrial Disputes Act, 1947) by giving notice, or Notice Pay in lieu thereof, in accordance with Appendix B and, in the case of retrenchment of a workman with one (1) year or more of Continuous Service, by additionally complying with Section 25F of the Industrial Disputes Act, 1947 (or the corresponding provision of the Industrial Relations Code, 2020), including payment of retrenchment compensation at fifteen (15) days' average pay for every completed year of Continuous Service (or part thereof in excess of six (6) months) and prior notice to, or approval of, the appropriate Government where the establishment falls within Chapter V-B of that Act.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26.3</w:t>
      </w:r>
      <w:r>
        <w:rPr>
          <w:rFonts w:ascii="Calibri" w:cs="Calibri" w:eastAsia="Calibri" w:hAnsi="Calibri"/>
          <w:sz w:val="20"/>
          <w:szCs w:val="20"/>
        </w:rPr>
        <w:t xml:space="preserve">	Termination on disciplinary grounds shall be processed exclusively in accordance with Clause 23 and shall not require notice or Notice Pay where the finding is one of Gross Misconduct.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26.4</w:t>
      </w:r>
      <w:r>
        <w:rPr>
          <w:rFonts w:ascii="Calibri" w:cs="Calibri" w:eastAsia="Calibri" w:hAnsi="Calibri"/>
          <w:sz w:val="20"/>
          <w:szCs w:val="20"/>
        </w:rPr>
        <w:t xml:space="preserve">	Superannuation. Save as otherwise specified in an individual appointment letter or as required by applicable law, the age of superannuation shall be sixty (60) years, and an Employee shall separate from service on attaining that age, with such separation being processed as retirement and not as termination for any purpose.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26.5</w:t>
      </w:r>
      <w:r>
        <w:rPr>
          <w:rFonts w:ascii="Calibri" w:cs="Calibri" w:eastAsia="Calibri" w:hAnsi="Calibri"/>
          <w:sz w:val="20"/>
          <w:szCs w:val="20"/>
        </w:rPr>
        <w:t xml:space="preserve">	Notice period during probation is governed by Clause 6.4, and not by this Clause 26 or Appendix B.</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26.6</w:t>
      </w:r>
      <w:r>
        <w:rPr>
          <w:rFonts w:ascii="Calibri" w:cs="Calibri" w:eastAsia="Calibri" w:hAnsi="Calibri"/>
          <w:sz w:val="20"/>
          <w:szCs w:val="20"/>
        </w:rPr>
        <w:t xml:space="preserve">	Full and Final Settlement. Upon separation for any reason, HR and Finance shall process the Employee's Full and Final Settlement, comprising: outstanding Fixed Pay up to the last working day; encashment of accumulated Earned / Privilege Leave per Clause 9.3.1; gratuity, where applicable, per Clause 8.6; pro-rata Variable Pay, where the Employee's Compensation Letter so provides; recovery of any sums due from the Employee to the Company (including Training Bond amounts under Clause 12.2, if triggered); and return of Company property under Clause 18.4 — such settlement to be processed, in the ordinary course, within forty-five (45) days of the last working day, or such shorter period as applicable law in the relevant state prescribes.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26.7</w:t>
      </w:r>
      <w:r>
        <w:rPr>
          <w:rFonts w:ascii="Calibri" w:cs="Calibri" w:eastAsia="Calibri" w:hAnsi="Calibri"/>
          <w:sz w:val="20"/>
          <w:szCs w:val="20"/>
        </w:rPr>
        <w:t xml:space="preserve">	The Company shall issue a relieving letter and, upon request, a service / experience certificate, save where the Employee has separated pursuant to a finding of Gross Misconduct, in which event issuance of a relieving letter shall not be construed as a waiver of the underlying finding.</w:t>
      </w:r>
    </w:p>
    <w:p>
      <w:pPr>
        <w:pStyle w:val="Heading1"/>
        <w:pBdr>
          <w:bottom w:val="single" w:color="1F3864" w:sz="6" w:space="4"/>
        </w:pBdr>
        <w:spacing w:after="200" w:before="320"/>
      </w:pPr>
      <w:r>
        <w:rPr>
          <w:rFonts w:ascii="Calibri" w:cs="Calibri" w:eastAsia="Calibri" w:hAnsi="Calibri"/>
          <w:b/>
          <w:bCs/>
          <w:color w:val="1F3864"/>
          <w:sz w:val="26"/>
          <w:szCs w:val="26"/>
        </w:rPr>
        <w:t xml:space="preserve">27.  NON-COMPETE, NON-SOLICITATION AND POST-TERMINATION OBLIGATIONS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27.1</w:t>
      </w:r>
      <w:r>
        <w:rPr>
          <w:rFonts w:ascii="Calibri" w:cs="Calibri" w:eastAsia="Calibri" w:hAnsi="Calibri"/>
          <w:sz w:val="20"/>
          <w:szCs w:val="20"/>
        </w:rPr>
        <w:t xml:space="preserve">	Confidentiality obligations under Clause 18 and intellectual property assignment obligations under Clause 19 shall survive termination of employment for any reason, without limitation of time save as applicable law may impose.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27.2</w:t>
      </w:r>
      <w:r>
        <w:rPr>
          <w:rFonts w:ascii="Calibri" w:cs="Calibri" w:eastAsia="Calibri" w:hAnsi="Calibri"/>
          <w:sz w:val="20"/>
          <w:szCs w:val="20"/>
        </w:rPr>
        <w:t xml:space="preserve">	Any covenant restraining an Employee from engaging in a lawful profession, trade, or business after the termination of employment shall be applied by the Company only to the extent enforceable under Section 27 of the Indian Contract Act, 1872, it being acknowledged that a post-termination non-compete restraint is, as a general rule under Indian law, void and unenforceable, save for such narrowly-tailored exceptions (for example, protection of Trade Secrets through a properly-framed confidentiality covenant, or restraints operative during the subsistence of employment) as Indian courts have recognised.</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27.3</w:t>
      </w:r>
      <w:r>
        <w:rPr>
          <w:rFonts w:ascii="Calibri" w:cs="Calibri" w:eastAsia="Calibri" w:hAnsi="Calibri"/>
          <w:sz w:val="20"/>
          <w:szCs w:val="20"/>
        </w:rPr>
        <w:t xml:space="preserve">	Non-solicitation of the Company's Employees and customers by a departing Employee, for such reasonable period post-separation as the Employee's appointment letter specifies, shall be enforced by the Company to the extent consistent with Clause 27.2 and applicable law, and primarily through the confidentiality and non-disclosure route rather than a bare restraint of trade.</w:t>
      </w:r>
    </w:p>
    <w:p>
      <w:pPr>
        <w:pStyle w:val="Heading1"/>
        <w:pBdr>
          <w:bottom w:val="single" w:color="1F3864" w:sz="6" w:space="4"/>
        </w:pBdr>
        <w:spacing w:after="200" w:before="320"/>
      </w:pPr>
      <w:r>
        <w:rPr>
          <w:rFonts w:ascii="Calibri" w:cs="Calibri" w:eastAsia="Calibri" w:hAnsi="Calibri"/>
          <w:b/>
          <w:bCs/>
          <w:color w:val="1F3864"/>
          <w:sz w:val="26"/>
          <w:szCs w:val="26"/>
        </w:rPr>
        <w:t xml:space="preserve">28.  RECORDS, STATUTORY REGISTERS AND COMPLIANCE AUDIT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28.1</w:t>
      </w:r>
      <w:r>
        <w:rPr>
          <w:rFonts w:ascii="Calibri" w:cs="Calibri" w:eastAsia="Calibri" w:hAnsi="Calibri"/>
          <w:sz w:val="20"/>
          <w:szCs w:val="20"/>
        </w:rPr>
        <w:t xml:space="preserve">	HR shall maintain, at each establishment, all registers and records prescribed under the Act(s), including registers of wages, attendance, leave, overtime, fines and deductions, and the muster roll, in the form and for the retention period prescribed thereunder.</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28.2</w:t>
      </w:r>
      <w:r>
        <w:rPr>
          <w:rFonts w:ascii="Calibri" w:cs="Calibri" w:eastAsia="Calibri" w:hAnsi="Calibri"/>
          <w:sz w:val="20"/>
          <w:szCs w:val="20"/>
        </w:rPr>
        <w:t xml:space="preserve">	The Company's internal audit function shall conduct a periodic (not less than annual) compliance audit of HR processes against this Policy and the Act(s), and shall report material findings to the Board or its delegated committee, together with a remediation plan and timeline.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28.3</w:t>
      </w:r>
      <w:r>
        <w:rPr>
          <w:rFonts w:ascii="Calibri" w:cs="Calibri" w:eastAsia="Calibri" w:hAnsi="Calibri"/>
          <w:sz w:val="20"/>
          <w:szCs w:val="20"/>
        </w:rPr>
        <w:t xml:space="preserve">	An Employee's personal data forming part of HR records shall be processed and retained in accordance with the Company's Data Privacy Policy and the Digital Personal Data Protection Act, 2023, and shall not be retained beyond the period necessary for the purpose for which it was collected, save where continued retention is required by the Act(s) or for the establishment or defence of a legal claim.</w:t>
      </w:r>
    </w:p>
    <w:p>
      <w:pPr>
        <w:pStyle w:val="Heading1"/>
        <w:pBdr>
          <w:bottom w:val="single" w:color="1F3864" w:sz="6" w:space="4"/>
        </w:pBdr>
        <w:spacing w:after="200" w:before="320"/>
      </w:pPr>
      <w:r>
        <w:rPr>
          <w:rFonts w:ascii="Calibri" w:cs="Calibri" w:eastAsia="Calibri" w:hAnsi="Calibri"/>
          <w:b/>
          <w:bCs/>
          <w:color w:val="1F3864"/>
          <w:sz w:val="26"/>
          <w:szCs w:val="26"/>
        </w:rPr>
        <w:t xml:space="preserve">29.  AMENDMENT, WAIVER, SEVERABILITY, NOTICES AND GOVERNING LAW</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29.1</w:t>
      </w:r>
      <w:r>
        <w:rPr>
          <w:rFonts w:ascii="Calibri" w:cs="Calibri" w:eastAsia="Calibri" w:hAnsi="Calibri"/>
          <w:sz w:val="20"/>
          <w:szCs w:val="20"/>
        </w:rPr>
        <w:t xml:space="preserve">	The Company reserves the right to amend, supplement, restate, or withdraw this Policy, in whole or in part, at any time, with prospective effect, by notification through the HRIS, intranet, or such other medium as HR may adopt for general communication to Employees, and such amendment shall be binding on all Employees from the date so notified, without requiring individual consent, save where applicable law or a specific contractual term requires such consent.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29.2</w:t>
      </w:r>
      <w:r>
        <w:rPr>
          <w:rFonts w:ascii="Calibri" w:cs="Calibri" w:eastAsia="Calibri" w:hAnsi="Calibri"/>
          <w:sz w:val="20"/>
          <w:szCs w:val="20"/>
        </w:rPr>
        <w:t xml:space="preserve">	No amendment to this Policy shall operate to reduce, retrospectively, an accrued statutory entitlement of an Employee (such as accrued but unavailed Earned / Privilege Leave or accrued gratuity) as at the date of such amendment.</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29.3</w:t>
      </w:r>
      <w:r>
        <w:rPr>
          <w:rFonts w:ascii="Calibri" w:cs="Calibri" w:eastAsia="Calibri" w:hAnsi="Calibri"/>
          <w:sz w:val="20"/>
          <w:szCs w:val="20"/>
        </w:rPr>
        <w:t xml:space="preserve">	No failure or delay by the Company in enforcing any provision of this Policy shall operate as a waiver of that provision or of the Company's right to enforce it on a subsequent occasion, nor shall a waiver in one instance be construed as a waiver in any other instance.</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29.4</w:t>
      </w:r>
      <w:r>
        <w:rPr>
          <w:rFonts w:ascii="Calibri" w:cs="Calibri" w:eastAsia="Calibri" w:hAnsi="Calibri"/>
          <w:sz w:val="20"/>
          <w:szCs w:val="20"/>
        </w:rPr>
        <w:t xml:space="preserve">	All notices, communications, and orders required to be given to an Employee under this Policy may be validly given by hand delivery, registered post to the Employee's address as recorded in the HRIS, or electronic mail to the Employee's Company-issued or last-notified personal email address, and shall be deemed received on the date of delivery, or, in the case of post, on the expiry of the ordinary course of transmission.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29.5</w:t>
      </w:r>
      <w:r>
        <w:rPr>
          <w:rFonts w:ascii="Calibri" w:cs="Calibri" w:eastAsia="Calibri" w:hAnsi="Calibri"/>
          <w:sz w:val="20"/>
          <w:szCs w:val="20"/>
        </w:rPr>
        <w:t xml:space="preserve">	Savings. Notwithstanding Clause 1.1, any right or liability accrued, and any disciplinary or grievance proceeding pending, as at the Effective Date under the policy superseded by this Policy shall continue to be governed by that superseded policy to the extent of such accrued right, liability, or pending proceeding.</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29.6</w:t>
      </w:r>
      <w:r>
        <w:rPr>
          <w:rFonts w:ascii="Calibri" w:cs="Calibri" w:eastAsia="Calibri" w:hAnsi="Calibri"/>
          <w:sz w:val="20"/>
          <w:szCs w:val="20"/>
        </w:rPr>
        <w:t xml:space="preserve">	This Policy, and the employment relationship it governs, shall be construed in accordance with, and governed by, the laws of India, and, subject to the exclusive or non-exclusive jurisdiction clause (as applicable) in an Employee's individual appointment letter, the courts having territorial jurisdiction over the Employee's base location shall have jurisdiction over disputes arising out of or in connection with this Policy, without prejudice to the jurisdiction of any labour court, industrial tribunal, or other forum constituted under the Act(s).</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29.7</w:t>
      </w:r>
      <w:r>
        <w:rPr>
          <w:rFonts w:ascii="Calibri" w:cs="Calibri" w:eastAsia="Calibri" w:hAnsi="Calibri"/>
          <w:sz w:val="20"/>
          <w:szCs w:val="20"/>
        </w:rPr>
        <w:t xml:space="preserve">	Severability. If any provision of this Policy is held by a court or tribunal of competent jurisdiction to be invalid, illegal, or unenforceable, such provision shall be severed, and the remaining provisions of this Policy shall continue in full force and effect, and the Company shall, so far as possible, substitute a valid provision that most closely reflects the original commercial and legal intent of the severed provision.</w:t>
      </w:r>
    </w:p>
    <w:p>
      <w:pPr>
        <w:pStyle w:val="Heading1"/>
        <w:pBdr>
          <w:bottom w:val="single" w:color="1F3864" w:sz="6" w:space="4"/>
        </w:pBdr>
        <w:spacing w:after="200" w:before="320"/>
      </w:pPr>
      <w:r>
        <w:rPr>
          <w:rFonts w:ascii="Calibri" w:cs="Calibri" w:eastAsia="Calibri" w:hAnsi="Calibri"/>
          <w:b/>
          <w:bCs/>
          <w:color w:val="1F3864"/>
          <w:sz w:val="26"/>
          <w:szCs w:val="26"/>
        </w:rPr>
        <w:t xml:space="preserve">30.  ACKNOWLEDGEMENT AND UNDERTAKING</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30.1</w:t>
      </w:r>
      <w:r>
        <w:rPr>
          <w:rFonts w:ascii="Calibri" w:cs="Calibri" w:eastAsia="Calibri" w:hAnsi="Calibri"/>
          <w:sz w:val="20"/>
          <w:szCs w:val="20"/>
        </w:rPr>
        <w:t xml:space="preserve">	Every Employee shall execute the Acknowledgement Form at Appendix E confirming that they have read, understood, and agree to comply with this Policy, as amended from time to time in accordance with Clause 29, and that they have had a reasonable opportunity to seek clarification from HR on any provision hereof prior to execution.</w:t>
      </w:r>
    </w:p>
    <w:p>
      <w:pPr>
        <w:tabs>
          <w:tab w:val="left" w:pos="560"/>
          <w:tab w:val="left" w:pos="960"/>
          <w:tab w:val="left" w:pos="1360"/>
        </w:tabs>
        <w:spacing w:after="140" w:line="288" w:lineRule="auto"/>
        <w:ind w:left="560" w:hanging="560"/>
      </w:pPr>
      <w:r>
        <w:rPr>
          <w:rFonts w:ascii="Calibri" w:cs="Calibri" w:eastAsia="Calibri" w:hAnsi="Calibri"/>
          <w:b/>
          <w:bCs/>
          <w:sz w:val="20"/>
          <w:szCs w:val="20"/>
        </w:rPr>
        <w:t xml:space="preserve">30.2</w:t>
      </w:r>
      <w:r>
        <w:rPr>
          <w:rFonts w:ascii="Calibri" w:cs="Calibri" w:eastAsia="Calibri" w:hAnsi="Calibri"/>
          <w:sz w:val="20"/>
          <w:szCs w:val="20"/>
        </w:rPr>
        <w:t xml:space="preserve">	Failure or refusal to execute the Acknowledgement Form shall not relieve an Employee of the obligation to comply with this Policy, which shall bind every Employee by virtue of employment with the Company, irrespective of execution of the Acknowledgement Form.</w:t>
      </w:r>
    </w:p>
    <w:p>
      <w:pPr>
        <w:pStyle w:val="Heading1"/>
        <w:pageBreakBefore/>
        <w:pBdr>
          <w:bottom w:val="single" w:color="9C6B1F" w:sz="6" w:space="4"/>
        </w:pBdr>
        <w:spacing w:after="220" w:before="0"/>
      </w:pPr>
      <w:r>
        <w:rPr>
          <w:rFonts w:ascii="Calibri" w:cs="Calibri" w:eastAsia="Calibri" w:hAnsi="Calibri"/>
          <w:b/>
          <w:bCs/>
          <w:color w:val="1F3864"/>
          <w:sz w:val="26"/>
          <w:szCs w:val="26"/>
        </w:rPr>
        <w:t xml:space="preserve">APPENDIX A — LEAVE ENTITLEMENT MATRIX BY EMPLOYEE GRADE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1900"/>
        <w:gridCol w:w="1900"/>
        <w:gridCol w:w="187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Leave Type</w:t>
            </w:r>
          </w:p>
        </w:tc>
        <w:tc>
          <w:tcPr>
            <w:tcW w:type="dxa" w:w="185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Grade A–B (Entry/Associate)</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Grade C–D (Manager/Sr. Manager)</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Grade E and above (Leadership)</w:t>
            </w:r>
          </w:p>
        </w:tc>
        <w:tc>
          <w:tcPr>
            <w:tcW w:type="dxa" w:w="187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Carry-Forward / Encashment</w:t>
            </w:r>
          </w:p>
        </w:tc>
      </w:tr>
      <w:tr>
        <w:tc>
          <w:tcPr>
            <w:tcW w:type="dxa" w:w="15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Casual Leave</w:t>
            </w:r>
          </w:p>
        </w:tc>
        <w:tc>
          <w:tcPr>
            <w:tcW w:type="dxa" w:w="18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7 days/year</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7 days/year</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7 days/year</w:t>
            </w:r>
          </w:p>
        </w:tc>
        <w:tc>
          <w:tcPr>
            <w:tcW w:type="dxa" w:w="187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No carry-forward; lapses at calendar year-end</w:t>
            </w:r>
          </w:p>
        </w:tc>
      </w:tr>
      <w:tr>
        <w:tc>
          <w:tcPr>
            <w:tcW w:type="dxa" w:w="15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Sick Leave</w:t>
            </w:r>
          </w:p>
        </w:tc>
        <w:tc>
          <w:tcPr>
            <w:tcW w:type="dxa" w:w="18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7 days/year</w:t>
            </w:r>
          </w:p>
        </w:tc>
        <w:tc>
          <w:tcPr>
            <w:tcW w:type="dxa" w:w="1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10 days/year</w:t>
            </w:r>
          </w:p>
        </w:tc>
        <w:tc>
          <w:tcPr>
            <w:tcW w:type="dxa" w:w="1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10 days/year</w:t>
            </w:r>
          </w:p>
        </w:tc>
        <w:tc>
          <w:tcPr>
            <w:tcW w:type="dxa" w:w="187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Carry-forward up to 15 days; no encashment</w:t>
            </w:r>
          </w:p>
        </w:tc>
      </w:tr>
      <w:tr>
        <w:tc>
          <w:tcPr>
            <w:tcW w:type="dxa" w:w="15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Earned / Privilege Leave</w:t>
            </w:r>
          </w:p>
        </w:tc>
        <w:tc>
          <w:tcPr>
            <w:tcW w:type="dxa" w:w="18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15 days/year (accrued 1.25/month)</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18 days/year (accrued 1.5/month)</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21 days/year (accrued 1.75/month)</w:t>
            </w:r>
          </w:p>
        </w:tc>
        <w:tc>
          <w:tcPr>
            <w:tcW w:type="dxa" w:w="187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Accumulate up to 45 days; encashable on separation and via annual window (max 10 days/year)</w:t>
            </w:r>
          </w:p>
        </w:tc>
      </w:tr>
      <w:tr>
        <w:tc>
          <w:tcPr>
            <w:tcW w:type="dxa" w:w="15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Maternity Leave</w:t>
            </w:r>
          </w:p>
        </w:tc>
        <w:tc>
          <w:tcPr>
            <w:tcW w:type="dxa" w:w="18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26 weeks (12 weeks if 2+ surviving children)</w:t>
            </w:r>
          </w:p>
        </w:tc>
        <w:tc>
          <w:tcPr>
            <w:tcW w:type="dxa" w:w="1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Same</w:t>
            </w:r>
          </w:p>
        </w:tc>
        <w:tc>
          <w:tcPr>
            <w:tcW w:type="dxa" w:w="1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Same</w:t>
            </w:r>
          </w:p>
        </w:tc>
        <w:tc>
          <w:tcPr>
            <w:tcW w:type="dxa" w:w="187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Statutory — not encashable</w:t>
            </w:r>
          </w:p>
        </w:tc>
      </w:tr>
      <w:tr>
        <w:tc>
          <w:tcPr>
            <w:tcW w:type="dxa" w:w="15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Paternity Leave</w:t>
            </w:r>
          </w:p>
        </w:tc>
        <w:tc>
          <w:tcPr>
            <w:tcW w:type="dxa" w:w="18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10 days</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15 days</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15 days</w:t>
            </w:r>
          </w:p>
        </w:tc>
        <w:tc>
          <w:tcPr>
            <w:tcW w:type="dxa" w:w="187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Must be availed within 3 months of event; no carry-forward</w:t>
            </w:r>
          </w:p>
        </w:tc>
      </w:tr>
      <w:tr>
        <w:tc>
          <w:tcPr>
            <w:tcW w:type="dxa" w:w="15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Bereavement Leave</w:t>
            </w:r>
          </w:p>
        </w:tc>
        <w:tc>
          <w:tcPr>
            <w:tcW w:type="dxa" w:w="18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5 days</w:t>
            </w:r>
          </w:p>
        </w:tc>
        <w:tc>
          <w:tcPr>
            <w:tcW w:type="dxa" w:w="1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5 days</w:t>
            </w:r>
          </w:p>
        </w:tc>
        <w:tc>
          <w:tcPr>
            <w:tcW w:type="dxa" w:w="1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5 days</w:t>
            </w:r>
          </w:p>
        </w:tc>
        <w:tc>
          <w:tcPr>
            <w:tcW w:type="dxa" w:w="187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No carry-forward</w:t>
            </w:r>
          </w:p>
        </w:tc>
      </w:tr>
      <w:tr>
        <w:tc>
          <w:tcPr>
            <w:tcW w:type="dxa" w:w="15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Leave Without Pay</w:t>
            </w:r>
          </w:p>
        </w:tc>
        <w:tc>
          <w:tcPr>
            <w:tcW w:type="dxa" w:w="18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At Competent Authority discretion</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At Competent Authority discretion</w:t>
            </w:r>
          </w:p>
        </w:tc>
        <w:tc>
          <w:tcPr>
            <w:tcW w:type="dxa" w:w="1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At Competent Authority discretion</w:t>
            </w:r>
          </w:p>
        </w:tc>
        <w:tc>
          <w:tcPr>
            <w:tcW w:type="dxa" w:w="187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Not applicable</w:t>
            </w:r>
          </w:p>
        </w:tc>
      </w:tr>
    </w:tbl>
    <w:p>
      <w:pPr>
        <w:pStyle w:val="Heading1"/>
        <w:pageBreakBefore/>
        <w:pBdr>
          <w:bottom w:val="single" w:color="9C6B1F" w:sz="6" w:space="4"/>
        </w:pBdr>
        <w:spacing w:after="220" w:before="0"/>
      </w:pPr>
      <w:r>
        <w:rPr>
          <w:rFonts w:ascii="Calibri" w:cs="Calibri" w:eastAsia="Calibri" w:hAnsi="Calibri"/>
          <w:b/>
          <w:bCs/>
          <w:color w:val="1F3864"/>
          <w:sz w:val="26"/>
          <w:szCs w:val="26"/>
        </w:rPr>
        <w:t xml:space="preserve">APPENDIX B — NOTICE PERIOD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50"/>
        <w:gridCol w:w="2150"/>
        <w:gridCol w:w="21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 / Grade</w:t>
            </w:r>
          </w:p>
        </w:tc>
        <w:tc>
          <w:tcPr>
            <w:tcW w:type="dxa" w:w="215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Notice by Employee (Resignation)</w:t>
            </w:r>
          </w:p>
        </w:tc>
        <w:tc>
          <w:tcPr>
            <w:tcW w:type="dxa" w:w="215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Notice by Company (Non-Disciplinary)</w:t>
            </w:r>
          </w:p>
        </w:tc>
        <w:tc>
          <w:tcPr>
            <w:tcW w:type="dxa" w:w="2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Notice Pay Basis</w:t>
            </w:r>
          </w:p>
        </w:tc>
      </w:tr>
      <w:tr>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Probationary Employee (all Grades)</w:t>
            </w:r>
          </w:p>
        </w:tc>
        <w:tc>
          <w:tcPr>
            <w:tcW w:type="dxa" w:w="21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14 days</w:t>
            </w:r>
          </w:p>
        </w:tc>
        <w:tc>
          <w:tcPr>
            <w:tcW w:type="dxa" w:w="21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14 days</w:t>
            </w:r>
          </w:p>
        </w:tc>
        <w:tc>
          <w:tcPr>
            <w:tcW w:type="dxa" w:w="21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Last drawn Fixed Pay</w:t>
            </w:r>
          </w:p>
        </w:tc>
      </w:tr>
      <w:tr>
        <w:tc>
          <w:tcPr>
            <w:tcW w:type="dxa" w:w="26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Grade A–B (Entry/Associate)</w:t>
            </w:r>
          </w:p>
        </w:tc>
        <w:tc>
          <w:tcPr>
            <w:tcW w:type="dxa" w:w="21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30 days</w:t>
            </w:r>
          </w:p>
        </w:tc>
        <w:tc>
          <w:tcPr>
            <w:tcW w:type="dxa" w:w="21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30 days</w:t>
            </w:r>
          </w:p>
        </w:tc>
        <w:tc>
          <w:tcPr>
            <w:tcW w:type="dxa" w:w="21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Last drawn Fixed Pay</w:t>
            </w:r>
          </w:p>
        </w:tc>
      </w:tr>
      <w:tr>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Grade C–D (Manager/Sr. Manager)</w:t>
            </w:r>
          </w:p>
        </w:tc>
        <w:tc>
          <w:tcPr>
            <w:tcW w:type="dxa" w:w="21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60 days</w:t>
            </w:r>
          </w:p>
        </w:tc>
        <w:tc>
          <w:tcPr>
            <w:tcW w:type="dxa" w:w="21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60 days</w:t>
            </w:r>
          </w:p>
        </w:tc>
        <w:tc>
          <w:tcPr>
            <w:tcW w:type="dxa" w:w="21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Last drawn Fixed Pay</w:t>
            </w:r>
          </w:p>
        </w:tc>
      </w:tr>
      <w:tr>
        <w:tc>
          <w:tcPr>
            <w:tcW w:type="dxa" w:w="26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Grade E and above (Leadership)</w:t>
            </w:r>
          </w:p>
        </w:tc>
        <w:tc>
          <w:tcPr>
            <w:tcW w:type="dxa" w:w="21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90 days</w:t>
            </w:r>
          </w:p>
        </w:tc>
        <w:tc>
          <w:tcPr>
            <w:tcW w:type="dxa" w:w="21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90 days</w:t>
            </w:r>
          </w:p>
        </w:tc>
        <w:tc>
          <w:tcPr>
            <w:tcW w:type="dxa" w:w="21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Last drawn Fixed Pay + pro-rata declared Variable Pay, if any</w:t>
            </w:r>
          </w:p>
        </w:tc>
      </w:tr>
      <w:tr>
        <w:tc>
          <w:tcPr>
            <w:tcW w:type="dxa" w:w="26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Fixed-Term Employee</w:t>
            </w:r>
          </w:p>
        </w:tc>
        <w:tc>
          <w:tcPr>
            <w:tcW w:type="dxa" w:w="21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Per Clause 4.3 — no notice on natural expiry</w:t>
            </w:r>
          </w:p>
        </w:tc>
        <w:tc>
          <w:tcPr>
            <w:tcW w:type="dxa" w:w="21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Per Clause 4.3 — no notice on natural expiry</w:t>
            </w:r>
          </w:p>
        </w:tc>
        <w:tc>
          <w:tcPr>
            <w:tcW w:type="dxa" w:w="21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Not applicable</w:t>
            </w:r>
          </w:p>
        </w:tc>
      </w:tr>
      <w:tr>
        <w:tc>
          <w:tcPr>
            <w:tcW w:type="dxa" w:w="26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Termination for Gross Misconduct (Clause 23.6)</w:t>
            </w:r>
          </w:p>
        </w:tc>
        <w:tc>
          <w:tcPr>
            <w:tcW w:type="dxa" w:w="21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Not applicable</w:t>
            </w:r>
          </w:p>
        </w:tc>
        <w:tc>
          <w:tcPr>
            <w:tcW w:type="dxa" w:w="21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Nil — summary, subject to due process</w:t>
            </w:r>
          </w:p>
        </w:tc>
        <w:tc>
          <w:tcPr>
            <w:tcW w:type="dxa" w:w="21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Nil</w:t>
            </w:r>
          </w:p>
        </w:tc>
      </w:tr>
    </w:tbl>
    <w:p>
      <w:pPr>
        <w:pStyle w:val="Heading1"/>
        <w:pageBreakBefore/>
        <w:pBdr>
          <w:bottom w:val="single" w:color="9C6B1F" w:sz="6" w:space="4"/>
        </w:pBdr>
        <w:spacing w:after="220" w:before="0"/>
      </w:pPr>
      <w:r>
        <w:rPr>
          <w:rFonts w:ascii="Calibri" w:cs="Calibri" w:eastAsia="Calibri" w:hAnsi="Calibri"/>
          <w:b/>
          <w:bCs/>
          <w:color w:val="1F3864"/>
          <w:sz w:val="26"/>
          <w:szCs w:val="26"/>
        </w:rPr>
        <w:t xml:space="preserve">APPENDIX C — DISCIPLINARY ACTION MATRIX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926"/>
        <w:gridCol w:w="2225"/>
        <w:gridCol w:w="2225"/>
      </w:tblGrid>
      <w:tr>
        <w:trPr>
          <w:tblHeader/>
        </w:trPr>
        <w:tc>
          <w:tcPr>
            <w:tcW w:type="dxa" w:w="165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w:t>
            </w:r>
          </w:p>
        </w:tc>
        <w:tc>
          <w:tcPr>
            <w:tcW w:type="dxa" w:w="29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Illustrative Acts</w:t>
            </w:r>
          </w:p>
        </w:tc>
        <w:tc>
          <w:tcPr>
            <w:tcW w:type="dxa" w:w="2225"/>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Indicative Range of Action (1st Instance)</w:t>
            </w:r>
          </w:p>
        </w:tc>
        <w:tc>
          <w:tcPr>
            <w:tcW w:type="dxa" w:w="2225"/>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Indicative Range of Action (Repeat)</w:t>
            </w:r>
          </w:p>
        </w:tc>
      </w:tr>
      <w:tr>
        <w:tc>
          <w:tcPr>
            <w:tcW w:type="dxa" w:w="16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Minor Misconduct</w:t>
            </w:r>
          </w:p>
        </w:tc>
        <w:tc>
          <w:tcPr>
            <w:tcW w:type="dxa" w:w="29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Habitual lateness beyond grace period; minor breach of dress code or IT usage norms; failure to complete mandatory training within deadline</w:t>
            </w:r>
          </w:p>
        </w:tc>
        <w:tc>
          <w:tcPr>
            <w:tcW w:type="dxa" w:w="222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Verbal counselling; written warning</w:t>
            </w:r>
          </w:p>
        </w:tc>
        <w:tc>
          <w:tcPr>
            <w:tcW w:type="dxa" w:w="222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Written warning; final written warning</w:t>
            </w:r>
          </w:p>
        </w:tc>
      </w:tr>
      <w:tr>
        <w:tc>
          <w:tcPr>
            <w:tcW w:type="dxa" w:w="165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Major Misconduct</w:t>
            </w:r>
          </w:p>
        </w:tc>
        <w:tc>
          <w:tcPr>
            <w:tcW w:type="dxa" w:w="2926"/>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Repeated unauthorised absence; insubordination; breach of Conflict of Interest disclosure (Clause 14); negligent handling of Confidential Information; policy violations causing financial loss below materiality threshold</w:t>
            </w:r>
          </w:p>
        </w:tc>
        <w:tc>
          <w:tcPr>
            <w:tcW w:type="dxa" w:w="2225"/>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Final written warning; increment/promotion freeze; demotion</w:t>
            </w:r>
          </w:p>
        </w:tc>
        <w:tc>
          <w:tcPr>
            <w:tcW w:type="dxa" w:w="2225"/>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Suspension pending inquiry; termination with notice/Notice Pay</w:t>
            </w:r>
          </w:p>
        </w:tc>
      </w:tr>
      <w:tr>
        <w:tc>
          <w:tcPr>
            <w:tcW w:type="dxa" w:w="165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Gross Misconduct (Clause 23.6)</w:t>
            </w:r>
          </w:p>
        </w:tc>
        <w:tc>
          <w:tcPr>
            <w:tcW w:type="dxa" w:w="2926"/>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Theft, fraud, proven sexual harassment, violence, unauthorised disclosure causing material harm, falsification of records, being under influence at workplace, conviction for moral turpitude</w:t>
            </w:r>
          </w:p>
        </w:tc>
        <w:tc>
          <w:tcPr>
            <w:tcW w:type="dxa" w:w="222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Summary dismissal without notice, subject to due process under Clause 23.2–23.4</w:t>
            </w:r>
          </w:p>
        </w:tc>
        <w:tc>
          <w:tcPr>
            <w:tcW w:type="dxa" w:w="2225"/>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Not applicable — 1st instance action already at maximum</w:t>
            </w:r>
          </w:p>
        </w:tc>
      </w:tr>
    </w:tbl>
    <w:p>
      <w:pPr>
        <w:pStyle w:val="Heading1"/>
        <w:pageBreakBefore/>
        <w:pBdr>
          <w:bottom w:val="single" w:color="9C6B1F" w:sz="6" w:space="4"/>
        </w:pBdr>
        <w:spacing w:after="220" w:before="0"/>
      </w:pPr>
      <w:r>
        <w:rPr>
          <w:rFonts w:ascii="Calibri" w:cs="Calibri" w:eastAsia="Calibri" w:hAnsi="Calibri"/>
          <w:b/>
          <w:bCs/>
          <w:color w:val="1F3864"/>
          <w:sz w:val="26"/>
          <w:szCs w:val="26"/>
        </w:rPr>
        <w:t xml:space="preserve">APPENDIX D — DELEGATION OF AUTHORITY MATRIX FOR HR APPROVALS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Decision</w:t>
            </w:r>
          </w:p>
        </w:tc>
        <w:tc>
          <w:tcPr>
            <w:tcW w:type="dxa" w:w="204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Grade A–B</w:t>
            </w:r>
          </w:p>
        </w:tc>
        <w:tc>
          <w:tcPr>
            <w:tcW w:type="dxa" w:w="204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Grade C–D</w:t>
            </w:r>
          </w:p>
        </w:tc>
        <w:tc>
          <w:tcPr>
            <w:tcW w:type="dxa" w:w="2042"/>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Grade E and above</w:t>
            </w:r>
          </w:p>
        </w:tc>
      </w:tr>
      <w:t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Manpower requisition approval (Clause 5.2)</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Function Head</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Function Head + HR Head</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CEO/MD + Board Committee</w:t>
            </w:r>
          </w:p>
        </w:tc>
      </w:tr>
      <w:tr>
        <w:tc>
          <w:tcPr>
            <w:tcW w:type="dxa" w:w="2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Offer approval beyond salary band</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Head</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Head + CFO</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Board Committee</w:t>
            </w:r>
          </w:p>
        </w:tc>
      </w:tr>
      <w:t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Confirmation post-probation (Clause 6)</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Reporting Manager + HR</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Reporting Manager + HR</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Reporting Manager's superior + HR Head</w:t>
            </w:r>
          </w:p>
        </w:tc>
      </w:tr>
      <w:tr>
        <w:tc>
          <w:tcPr>
            <w:tcW w:type="dxa" w:w="2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Initiation of disciplinary inquiry (Clause 23)</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Business Partner</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Head</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Head + General Counsel</w:t>
            </w:r>
          </w:p>
        </w:tc>
      </w:tr>
      <w:t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Approval of dismissal / discharge</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HR Head</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HR Head + Function Head</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CEO/MD</w:t>
            </w:r>
          </w:p>
        </w:tc>
      </w:tr>
      <w:tr>
        <w:tc>
          <w:tcPr>
            <w:tcW w:type="dxa" w:w="2900"/>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bCs/>
                <w:sz w:val="18"/>
                <w:szCs w:val="18"/>
              </w:rPr>
              <w:t xml:space="preserve">Waiver of notice period / Notice Pay</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Head</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HR Head</w:t>
            </w:r>
          </w:p>
        </w:tc>
        <w:tc>
          <w:tcPr>
            <w:tcW w:type="dxa" w:w="2042"/>
            <w:tcBorders>
              <w:top w:val="single" w:color="BFBFBF" w:sz="4"/>
              <w:left w:val="single" w:color="BFBFBF" w:sz="4"/>
              <w:bottom w:val="single" w:color="BFBFBF" w:sz="4"/>
              <w:right w:val="single" w:color="BFBFBF" w:sz="4"/>
            </w:tcBorders>
            <w:shd w:fill="E8E8E8" w:color="auto" w:val="clear"/>
            <w:tcMar>
              <w:top w:type="dxa" w:w="90"/>
              <w:left w:type="dxa" w:w="120"/>
              <w:bottom w:type="dxa" w:w="90"/>
              <w:right w:type="dxa" w:w="120"/>
            </w:tcMar>
            <w:vAlign w:val="top"/>
          </w:tcPr>
          <w:p>
            <w:r>
              <w:rPr>
                <w:rFonts w:ascii="Calibri" w:cs="Calibri" w:eastAsia="Calibri" w:hAnsi="Calibri"/>
                <w:b w:val="false"/>
                <w:bCs w:val="false"/>
                <w:sz w:val="18"/>
                <w:szCs w:val="18"/>
              </w:rPr>
              <w:t xml:space="preserve">CEO/MD</w:t>
            </w:r>
          </w:p>
        </w:tc>
      </w:tr>
      <w:t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bCs/>
                <w:sz w:val="18"/>
                <w:szCs w:val="18"/>
              </w:rPr>
              <w:t xml:space="preserve">Conflict of interest mitigation decision (Clause 14.2)</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HR Head</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HR Head + General Counsel</w:t>
            </w:r>
          </w:p>
        </w:tc>
        <w:tc>
          <w:tcPr>
            <w:tcW w:type="dxa" w:w="2042"/>
            <w:tcBorders>
              <w:top w:val="single" w:color="BFBFBF" w:sz="4"/>
              <w:left w:val="single" w:color="BFBFBF" w:sz="4"/>
              <w:bottom w:val="single" w:color="BFBFBF" w:sz="4"/>
              <w:right w:val="single" w:color="BFBFBF" w:sz="4"/>
            </w:tcBorders>
            <w:tcMar>
              <w:top w:type="dxa" w:w="90"/>
              <w:left w:type="dxa" w:w="120"/>
              <w:bottom w:type="dxa" w:w="90"/>
              <w:right w:type="dxa" w:w="120"/>
            </w:tcMar>
            <w:vAlign w:val="top"/>
          </w:tcPr>
          <w:p>
            <w:r>
              <w:rPr>
                <w:rFonts w:ascii="Calibri" w:cs="Calibri" w:eastAsia="Calibri" w:hAnsi="Calibri"/>
                <w:b w:val="false"/>
                <w:bCs w:val="false"/>
                <w:sz w:val="18"/>
                <w:szCs w:val="18"/>
              </w:rPr>
              <w:t xml:space="preserve">Board Committee</w:t>
            </w:r>
          </w:p>
        </w:tc>
      </w:tr>
    </w:tbl>
    <w:p>
      <w:pPr>
        <w:pStyle w:val="Heading1"/>
        <w:pageBreakBefore/>
        <w:pBdr>
          <w:bottom w:val="single" w:color="9C6B1F" w:sz="6" w:space="4"/>
        </w:pBdr>
        <w:spacing w:after="220" w:before="0"/>
      </w:pPr>
      <w:r>
        <w:rPr>
          <w:rFonts w:ascii="Calibri" w:cs="Calibri" w:eastAsia="Calibri" w:hAnsi="Calibri"/>
          <w:b/>
          <w:bCs/>
          <w:color w:val="1F3864"/>
          <w:sz w:val="26"/>
          <w:szCs w:val="26"/>
        </w:rPr>
        <w:t xml:space="preserve">APPENDIX E — EMPLOYEE ACKNOWLEDGEMENT FORM</w:t>
      </w:r>
    </w:p>
    <w:p>
      <w:pPr>
        <w:spacing w:after="200"/>
      </w:pPr>
      <w:r>
        <w:rPr>
          <w:b/>
          <w:bCs/>
          <w:sz w:val="20"/>
          <w:szCs w:val="20"/>
        </w:rPr>
        <w:t xml:space="preserve">Re: Acknowledgement of the [Company Name] Human Resources Policy Manual (HR-POL-001, Version 1.0)</w:t>
      </w:r>
    </w:p>
    <w:p>
      <w:pPr>
        <w:spacing w:after="160"/>
        <w:ind w:left="200"/>
      </w:pPr>
      <w:r>
        <w:rPr>
          <w:sz w:val="20"/>
          <w:szCs w:val="20"/>
        </w:rPr>
        <w:t xml:space="preserve">☐  I acknowledge that I have received, read, and understood the Human Resources Policy Manual of [Company Name] (the "Policy"), including all Clauses and Appendices thereto.</w:t>
      </w:r>
    </w:p>
    <w:p>
      <w:pPr>
        <w:spacing w:after="160"/>
        <w:ind w:left="200"/>
      </w:pPr>
      <w:r>
        <w:rPr>
          <w:sz w:val="20"/>
          <w:szCs w:val="20"/>
        </w:rPr>
        <w:t xml:space="preserve">☐  I understand that the Policy does not, of itself, constitute a contract of employment, and that the Company reserves the right to amend the Policy prospectively at any time in accordance with Clause 29.</w:t>
      </w:r>
    </w:p>
    <w:p>
      <w:pPr>
        <w:spacing w:after="160"/>
        <w:ind w:left="200"/>
      </w:pPr>
      <w:r>
        <w:rPr>
          <w:sz w:val="20"/>
          <w:szCs w:val="20"/>
        </w:rPr>
        <w:t xml:space="preserve">☐  I undertake to comply with the Policy, including the Code of Conduct (Clause 13), the Anti-Harassment Policy (Clause 15), the Confidentiality obligations (Clause 18), and the Intellectual Property assignment (Clause 19), during and, to the extent applicable, after my employment with the Company.</w:t>
      </w:r>
    </w:p>
    <w:p>
      <w:pPr>
        <w:spacing w:after="160"/>
        <w:ind w:left="200"/>
      </w:pPr>
      <w:r>
        <w:rPr>
          <w:sz w:val="20"/>
          <w:szCs w:val="20"/>
        </w:rPr>
        <w:t xml:space="preserve">☐  I confirm that I have had a reasonable opportunity to raise questions regarding the Policy with Human Resources prior to signing this Acknowledgement.</w:t>
      </w:r>
    </w:p>
    <w:p>
      <w:pPr>
        <w:spacing w:after="80" w:before="500"/>
      </w:pPr>
      <w:r>
        <w:rPr>
          <w:sz w:val="20"/>
          <w:szCs w:val="20"/>
        </w:rPr>
        <w:t xml:space="preserve">Employee Name: ______________________________________</w:t>
      </w:r>
    </w:p>
    <w:p>
      <w:pPr>
        <w:spacing w:after="80"/>
      </w:pPr>
      <w:r>
        <w:rPr>
          <w:sz w:val="20"/>
          <w:szCs w:val="20"/>
        </w:rPr>
        <w:t xml:space="preserve">Employee ID: ______________________________________</w:t>
      </w:r>
    </w:p>
    <w:p>
      <w:pPr>
        <w:spacing w:after="80"/>
      </w:pPr>
      <w:r>
        <w:rPr>
          <w:sz w:val="20"/>
          <w:szCs w:val="20"/>
        </w:rPr>
        <w:t xml:space="preserve">Designation / Grade: ______________________________________</w:t>
      </w:r>
    </w:p>
    <w:p>
      <w:pPr>
        <w:spacing w:after="80"/>
      </w:pPr>
      <w:r>
        <w:rPr>
          <w:sz w:val="20"/>
          <w:szCs w:val="20"/>
        </w:rPr>
        <w:t xml:space="preserve">Signature: ______________________________________</w:t>
      </w:r>
    </w:p>
    <w:p>
      <w:pPr>
        <w:spacing w:after="80"/>
      </w:pPr>
      <w:r>
        <w:rPr>
          <w:sz w:val="20"/>
          <w:szCs w:val="20"/>
        </w:rPr>
        <w:t xml:space="preserve">Date: ______________________________________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r>
      <w:rPr>
        <w:color w:val="888888"/>
        <w:sz w:val="14"/>
        <w:szCs w:val="14"/>
      </w:rPr>
      <w:t xml:space="preserve">   •   Version 1.0   •   Effective 18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88888"/>
        <w:sz w:val="14"/>
        <w:szCs w:val="14"/>
      </w:rPr>
      <w:t xml:space="preserve">[Company Name] — Human Resources Policy Manual (HR-POL-001)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 — Human Resources Policy Manual</dc:title>
  <dc:creator>Human Resources</dc:creator>
  <dc:description>Comprehensive HR Policy Manual (India) — deliberately dense drafting for later AI-assisted simplification.</dc:description>
  <cp:lastModifiedBy>Un-named</cp:lastModifiedBy>
  <cp:revision>1</cp:revision>
  <dcterms:created xsi:type="dcterms:W3CDTF">2026-08-18T12:18:16.893Z</dcterms:created>
  <dcterms:modified xsi:type="dcterms:W3CDTF">2026-08-18T12:18:16.894Z</dcterms:modified>
</cp:coreProperties>
</file>

<file path=docProps/custom.xml><?xml version="1.0" encoding="utf-8"?>
<Properties xmlns="http://schemas.openxmlformats.org/officeDocument/2006/custom-properties" xmlns:vt="http://schemas.openxmlformats.org/officeDocument/2006/docPropsVTypes"/>
</file>