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1B365D"/>
          <w:sz w:val="48"/>
        </w:rPr>
        <w:t>Recruitment Agency Evaluation Guide</w:t>
      </w:r>
    </w:p>
    <w:p>
      <w:pPr>
        <w:spacing w:after="360"/>
      </w:pPr>
      <w:r>
        <w:rPr>
          <w:i/>
          <w:color w:val="4682B4"/>
          <w:sz w:val="24"/>
        </w:rPr>
        <w:t>Framework &amp; Methodology for Assessment Using Google Gemini</w:t>
      </w:r>
    </w:p>
    <w:p>
      <w:pPr>
        <w:spacing w:before="240" w:after="120"/>
      </w:pPr>
      <w:r>
        <w:rPr>
          <w:b/>
          <w:color w:val="1B365D"/>
          <w:sz w:val="28"/>
        </w:rPr>
        <w:t>1. Executive Overview</w:t>
      </w:r>
    </w:p>
    <w:p>
      <w:r>
        <w:t>Evaluating external recruitment agencies requires a structured approach that balances quantitative performance metrics with qualitative alignment with company goals. Leveraging Google Gemini allows HR teams and hiring managers to process agency proposals, track talent pipeline efficiency, and calculate key performance indicators seamlessly.</w:t>
      </w:r>
    </w:p>
    <w:p>
      <w:pPr>
        <w:spacing w:before="280" w:after="120"/>
      </w:pPr>
      <w:r>
        <w:rPr>
          <w:b/>
          <w:color w:val="1B365D"/>
          <w:sz w:val="28"/>
        </w:rPr>
        <w:t>2. Core Evaluation Criteria</w:t>
      </w:r>
    </w:p>
    <w:p>
      <w:pPr>
        <w:pStyle w:val="ListBullet"/>
        <w:spacing w:after="60"/>
      </w:pPr>
      <w:r>
        <w:rPr>
          <w:b/>
          <w:color w:val="1B365D"/>
        </w:rPr>
        <w:t xml:space="preserve">Time-to-Hire &amp; Fill Rate: </w:t>
      </w:r>
      <w:r>
        <w:t>Velocity and efficiency in delivering qualified candidates relative to agreed Service Level Agreements (SLAs).</w:t>
      </w:r>
    </w:p>
    <w:p>
      <w:pPr>
        <w:pStyle w:val="ListBullet"/>
        <w:spacing w:after="60"/>
      </w:pPr>
      <w:r>
        <w:rPr>
          <w:b/>
          <w:color w:val="1B365D"/>
        </w:rPr>
        <w:t xml:space="preserve">Quality of Submissions: </w:t>
      </w:r>
      <w:r>
        <w:t>Ratio of candidate submissions to interview invitations and ultimate offer acceptance rates.</w:t>
      </w:r>
    </w:p>
    <w:p>
      <w:pPr>
        <w:pStyle w:val="ListBullet"/>
        <w:spacing w:after="60"/>
      </w:pPr>
      <w:r>
        <w:rPr>
          <w:b/>
          <w:color w:val="1B365D"/>
        </w:rPr>
        <w:t xml:space="preserve">Industry &amp; Niche Expertise: </w:t>
      </w:r>
      <w:r>
        <w:t>Deep understanding of specialized roles, technical skill requirements, and competitive market rates.</w:t>
      </w:r>
    </w:p>
    <w:p>
      <w:pPr>
        <w:pStyle w:val="ListBullet"/>
        <w:spacing w:after="60"/>
      </w:pPr>
      <w:r>
        <w:rPr>
          <w:b/>
          <w:color w:val="1B365D"/>
        </w:rPr>
        <w:t xml:space="preserve">Cost Structure &amp; ROI: </w:t>
      </w:r>
      <w:r>
        <w:t>Transparency of placement fees, retainer terms, payment schedules, and replacement guarantee periods.</w:t>
      </w:r>
    </w:p>
    <w:p>
      <w:pPr>
        <w:pStyle w:val="ListBullet"/>
        <w:spacing w:after="60"/>
      </w:pPr>
      <w:r>
        <w:rPr>
          <w:b/>
          <w:color w:val="1B365D"/>
        </w:rPr>
        <w:t xml:space="preserve">Candidate Experience: </w:t>
      </w:r>
      <w:r>
        <w:t>Professional representation of employer brand, effective candidate communication, and constructive feedback management.</w:t>
      </w:r>
    </w:p>
    <w:p>
      <w:pPr>
        <w:spacing w:before="280" w:after="120"/>
      </w:pPr>
      <w:r>
        <w:rPr>
          <w:b/>
          <w:color w:val="1B365D"/>
          <w:sz w:val="28"/>
        </w:rPr>
        <w:t>3. Step-by-Step Gemini Prompt Framework</w:t>
      </w:r>
    </w:p>
    <w:p>
      <w:pPr>
        <w:spacing w:before="120" w:after="40"/>
      </w:pPr>
      <w:r>
        <w:rPr>
          <w:b/>
          <w:color w:val="4682B4"/>
        </w:rPr>
        <w:t>Phase 1: Proposal &amp; SLA Comparison</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after="0"/>
            </w:pPr>
            <w:r>
              <w:rPr>
                <w:i/>
                <w:color w:val="3C3C3C"/>
                <w:sz w:val="19"/>
              </w:rPr>
              <w:t>"Compare these three recruitment agency proposals [paste text/table]. Create a Markdown table comparing placement fees, guarantee periods, payment terms, and exclusivity requirements. Highlight any hidden costs or risks."</w:t>
            </w:r>
          </w:p>
        </w:tc>
      </w:tr>
    </w:tbl>
    <w:p>
      <w:pPr>
        <w:spacing w:after="40"/>
      </w:pPr>
    </w:p>
    <w:p>
      <w:pPr>
        <w:spacing w:before="120" w:after="40"/>
      </w:pPr>
      <w:r>
        <w:rPr>
          <w:b/>
          <w:color w:val="4682B4"/>
        </w:rPr>
        <w:t>Phase 2: Candidate Submission Analysis</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after="0"/>
            </w:pPr>
            <w:r>
              <w:rPr>
                <w:i/>
                <w:color w:val="3C3C3C"/>
                <w:sz w:val="19"/>
              </w:rPr>
              <w:t>"I have agency submission metrics for the past quarter [paste metrics e.g., Agency A - 20 submitted, 5 interviewed, 1 hired]. Calculate the Submission-to-Interview ratio, Interview-to-Offer ratio, and overall success rate for each agency. Rank them by overall efficiency."</w:t>
            </w:r>
          </w:p>
        </w:tc>
      </w:tr>
    </w:tbl>
    <w:p>
      <w:pPr>
        <w:spacing w:after="40"/>
      </w:pPr>
    </w:p>
    <w:p>
      <w:pPr>
        <w:spacing w:before="120" w:after="40"/>
      </w:pPr>
      <w:r>
        <w:rPr>
          <w:b/>
          <w:color w:val="4682B4"/>
        </w:rPr>
        <w:t>Phase 3: Weighted Scorecard Generation</w:t>
      </w:r>
    </w:p>
    <w:tbl>
      <w:tblPr>
        <w:tblW w:type="auto" w:w="0"/>
        <w:jc w:val="center"/>
        <w:tblLook w:firstColumn="1" w:firstRow="1" w:lastColumn="0" w:lastRow="0" w:noHBand="0" w:noVBand="1" w:val="04A0"/>
      </w:tblPr>
      <w:tblGrid>
        <w:gridCol w:w="9360"/>
      </w:tblGrid>
      <w:tr>
        <w:tc>
          <w:tcPr>
            <w:tcW w:type="dxa" w:w="9360"/>
            <w:shd w:fill="F4F6F9"/>
            <w:tcMar>
              <w:top w:w="120" w:type="dxa"/>
              <w:bottom w:w="120" w:type="dxa"/>
              <w:left w:w="180" w:type="dxa"/>
              <w:right w:w="180" w:type="dxa"/>
            </w:tcMar>
            <w:tcBorders>
              <w:left w:val="single" w:sz="24" w:space="0" w:color="1B365D"/>
              <w:top w:val="none"/>
              <w:right w:val="none"/>
              <w:bottom w:val="none"/>
            </w:tcBorders>
          </w:tcPr>
          <w:p>
            <w:pPr>
              <w:spacing w:after="0"/>
            </w:pPr>
            <w:r>
              <w:rPr>
                <w:i/>
                <w:color w:val="3C3C3C"/>
                <w:sz w:val="19"/>
              </w:rPr>
              <w:t>"Create a weighted scoring rubric (out of 100) to evaluate prospective recruitment agencies for technical hiring. Weight Quality of Candidates at 35%, Time-to-Fill at 25%, Cost/Fees at 20%, and Communication/SLA at 20%."</w:t>
            </w:r>
          </w:p>
        </w:tc>
      </w:tr>
    </w:tbl>
    <w:p>
      <w:pPr>
        <w:spacing w:after="40"/>
      </w:pPr>
    </w:p>
    <w:p>
      <w:pPr>
        <w:spacing w:before="280" w:after="120"/>
      </w:pPr>
      <w:r>
        <w:rPr>
          <w:b/>
          <w:color w:val="1B365D"/>
          <w:sz w:val="28"/>
        </w:rPr>
        <w:t>4. Sample Agency Evaluation Scorecard</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trPr>
        <w:tc>
          <w:tcPr>
            <w:tcW w:type="dxa" w:w="2592"/>
            <w:shd w:fill="1B365D"/>
            <w:tcMar>
              <w:top w:w="120" w:type="dxa"/>
              <w:bottom w:w="120" w:type="dxa"/>
              <w:left w:w="100" w:type="dxa"/>
              <w:right w:w="100" w:type="dxa"/>
            </w:tcMar>
          </w:tcPr>
          <w:p>
            <w:pPr>
              <w:spacing w:after="0"/>
              <w:jc w:val="left"/>
            </w:pPr>
            <w:r>
              <w:rPr>
                <w:b/>
                <w:color w:val="FFFFFF"/>
                <w:sz w:val="19"/>
              </w:rPr>
              <w:t>Evaluation Category</w:t>
            </w:r>
          </w:p>
        </w:tc>
        <w:tc>
          <w:tcPr>
            <w:tcW w:type="dxa" w:w="1152"/>
            <w:shd w:fill="1B365D"/>
            <w:tcMar>
              <w:top w:w="120" w:type="dxa"/>
              <w:bottom w:w="120" w:type="dxa"/>
              <w:left w:w="100" w:type="dxa"/>
              <w:right w:w="100" w:type="dxa"/>
            </w:tcMar>
          </w:tcPr>
          <w:p>
            <w:pPr>
              <w:spacing w:after="0"/>
              <w:jc w:val="center"/>
            </w:pPr>
            <w:r>
              <w:rPr>
                <w:b/>
                <w:color w:val="FFFFFF"/>
                <w:sz w:val="19"/>
              </w:rPr>
              <w:t>Weight</w:t>
            </w:r>
          </w:p>
        </w:tc>
        <w:tc>
          <w:tcPr>
            <w:tcW w:type="dxa" w:w="3456"/>
            <w:shd w:fill="1B365D"/>
            <w:tcMar>
              <w:top w:w="120" w:type="dxa"/>
              <w:bottom w:w="120" w:type="dxa"/>
              <w:left w:w="100" w:type="dxa"/>
              <w:right w:w="100" w:type="dxa"/>
            </w:tcMar>
          </w:tcPr>
          <w:p>
            <w:pPr>
              <w:spacing w:after="0"/>
              <w:jc w:val="left"/>
            </w:pPr>
            <w:r>
              <w:rPr>
                <w:b/>
                <w:color w:val="FFFFFF"/>
                <w:sz w:val="19"/>
              </w:rPr>
              <w:t>Agency Metric / Standard</w:t>
            </w:r>
          </w:p>
        </w:tc>
        <w:tc>
          <w:tcPr>
            <w:tcW w:type="dxa" w:w="1152"/>
            <w:shd w:fill="1B365D"/>
            <w:tcMar>
              <w:top w:w="120" w:type="dxa"/>
              <w:bottom w:w="120" w:type="dxa"/>
              <w:left w:w="100" w:type="dxa"/>
              <w:right w:w="100" w:type="dxa"/>
            </w:tcMar>
          </w:tcPr>
          <w:p>
            <w:pPr>
              <w:spacing w:after="0"/>
              <w:jc w:val="center"/>
            </w:pPr>
            <w:r>
              <w:rPr>
                <w:b/>
                <w:color w:val="FFFFFF"/>
                <w:sz w:val="19"/>
              </w:rPr>
              <w:t>Score (1-5)</w:t>
            </w:r>
          </w:p>
        </w:tc>
        <w:tc>
          <w:tcPr>
            <w:tcW w:type="dxa" w:w="1440"/>
            <w:shd w:fill="1B365D"/>
            <w:tcMar>
              <w:top w:w="120" w:type="dxa"/>
              <w:bottom w:w="120" w:type="dxa"/>
              <w:left w:w="100" w:type="dxa"/>
              <w:right w:w="100" w:type="dxa"/>
            </w:tcMar>
          </w:tcPr>
          <w:p>
            <w:pPr>
              <w:spacing w:after="0"/>
              <w:jc w:val="center"/>
            </w:pPr>
            <w:r>
              <w:rPr>
                <w:b/>
                <w:color w:val="FFFFFF"/>
                <w:sz w:val="19"/>
              </w:rPr>
              <w:t>Weighted Score</w:t>
            </w:r>
          </w:p>
        </w:tc>
      </w:tr>
      <w:tr>
        <w:trPr>
          <w:cantSplit/>
        </w:trPr>
        <w:tc>
          <w:tcPr>
            <w:tcW w:type="dxa" w:w="2592"/>
            <w:shd w:fill="FFFFFF"/>
            <w:tcMar>
              <w:top w:w="100" w:type="dxa"/>
              <w:bottom w:w="100" w:type="dxa"/>
              <w:left w:w="100" w:type="dxa"/>
              <w:right w:w="100" w:type="dxa"/>
            </w:tcMar>
          </w:tcPr>
          <w:p>
            <w:pPr>
              <w:spacing w:after="0"/>
              <w:jc w:val="left"/>
            </w:pPr>
            <w:r>
              <w:rPr>
                <w:sz w:val="19"/>
              </w:rPr>
              <w:t>Candidate Quality</w:t>
            </w:r>
          </w:p>
        </w:tc>
        <w:tc>
          <w:tcPr>
            <w:tcW w:type="dxa" w:w="1152"/>
            <w:shd w:fill="FFFFFF"/>
            <w:tcMar>
              <w:top w:w="100" w:type="dxa"/>
              <w:bottom w:w="100" w:type="dxa"/>
              <w:left w:w="100" w:type="dxa"/>
              <w:right w:w="100" w:type="dxa"/>
            </w:tcMar>
          </w:tcPr>
          <w:p>
            <w:pPr>
              <w:spacing w:after="0"/>
              <w:jc w:val="center"/>
            </w:pPr>
            <w:r>
              <w:rPr>
                <w:sz w:val="19"/>
              </w:rPr>
              <w:t>35%</w:t>
            </w:r>
          </w:p>
        </w:tc>
        <w:tc>
          <w:tcPr>
            <w:tcW w:type="dxa" w:w="3456"/>
            <w:shd w:fill="FFFFFF"/>
            <w:tcMar>
              <w:top w:w="100" w:type="dxa"/>
              <w:bottom w:w="100" w:type="dxa"/>
              <w:left w:w="100" w:type="dxa"/>
              <w:right w:w="100" w:type="dxa"/>
            </w:tcMar>
          </w:tcPr>
          <w:p>
            <w:pPr>
              <w:spacing w:after="0"/>
              <w:jc w:val="left"/>
            </w:pPr>
            <w:r>
              <w:rPr>
                <w:sz w:val="19"/>
              </w:rPr>
              <w:t>High Interview-to-Offer Ratio (&gt;30%)</w:t>
            </w:r>
          </w:p>
        </w:tc>
        <w:tc>
          <w:tcPr>
            <w:tcW w:type="dxa" w:w="1152"/>
            <w:shd w:fill="FFFFFF"/>
            <w:tcMar>
              <w:top w:w="100" w:type="dxa"/>
              <w:bottom w:w="100" w:type="dxa"/>
              <w:left w:w="100" w:type="dxa"/>
              <w:right w:w="100" w:type="dxa"/>
            </w:tcMar>
          </w:tcPr>
          <w:p>
            <w:pPr>
              <w:spacing w:after="0"/>
              <w:jc w:val="center"/>
            </w:pPr>
            <w:r>
              <w:rPr>
                <w:sz w:val="19"/>
              </w:rPr>
            </w:r>
          </w:p>
        </w:tc>
        <w:tc>
          <w:tcPr>
            <w:tcW w:type="dxa" w:w="1440"/>
            <w:shd w:fill="FFFFFF"/>
            <w:tcMar>
              <w:top w:w="100" w:type="dxa"/>
              <w:bottom w:w="100" w:type="dxa"/>
              <w:left w:w="100" w:type="dxa"/>
              <w:right w:w="100" w:type="dxa"/>
            </w:tcMar>
          </w:tcPr>
          <w:p>
            <w:pPr>
              <w:spacing w:after="0"/>
              <w:jc w:val="center"/>
            </w:pPr>
            <w:r>
              <w:rPr>
                <w:sz w:val="19"/>
              </w:rPr>
            </w:r>
          </w:p>
        </w:tc>
      </w:tr>
      <w:tr>
        <w:trPr>
          <w:cantSplit/>
        </w:trPr>
        <w:tc>
          <w:tcPr>
            <w:tcW w:type="dxa" w:w="2592"/>
            <w:shd w:fill="F9FAFC"/>
            <w:tcMar>
              <w:top w:w="100" w:type="dxa"/>
              <w:bottom w:w="100" w:type="dxa"/>
              <w:left w:w="100" w:type="dxa"/>
              <w:right w:w="100" w:type="dxa"/>
            </w:tcMar>
          </w:tcPr>
          <w:p>
            <w:pPr>
              <w:spacing w:after="0"/>
              <w:jc w:val="left"/>
            </w:pPr>
            <w:r>
              <w:rPr>
                <w:sz w:val="19"/>
              </w:rPr>
              <w:t>Speed / Time-to-Fill</w:t>
            </w:r>
          </w:p>
        </w:tc>
        <w:tc>
          <w:tcPr>
            <w:tcW w:type="dxa" w:w="1152"/>
            <w:shd w:fill="F9FAFC"/>
            <w:tcMar>
              <w:top w:w="100" w:type="dxa"/>
              <w:bottom w:w="100" w:type="dxa"/>
              <w:left w:w="100" w:type="dxa"/>
              <w:right w:w="100" w:type="dxa"/>
            </w:tcMar>
          </w:tcPr>
          <w:p>
            <w:pPr>
              <w:spacing w:after="0"/>
              <w:jc w:val="center"/>
            </w:pPr>
            <w:r>
              <w:rPr>
                <w:sz w:val="19"/>
              </w:rPr>
              <w:t>25%</w:t>
            </w:r>
          </w:p>
        </w:tc>
        <w:tc>
          <w:tcPr>
            <w:tcW w:type="dxa" w:w="3456"/>
            <w:shd w:fill="F9FAFC"/>
            <w:tcMar>
              <w:top w:w="100" w:type="dxa"/>
              <w:bottom w:w="100" w:type="dxa"/>
              <w:left w:w="100" w:type="dxa"/>
              <w:right w:w="100" w:type="dxa"/>
            </w:tcMar>
          </w:tcPr>
          <w:p>
            <w:pPr>
              <w:spacing w:after="0"/>
              <w:jc w:val="left"/>
            </w:pPr>
            <w:r>
              <w:rPr>
                <w:sz w:val="19"/>
              </w:rPr>
              <w:t>First shortlist delivered within 5 business days</w:t>
            </w:r>
          </w:p>
        </w:tc>
        <w:tc>
          <w:tcPr>
            <w:tcW w:type="dxa" w:w="1152"/>
            <w:shd w:fill="F9FAFC"/>
            <w:tcMar>
              <w:top w:w="100" w:type="dxa"/>
              <w:bottom w:w="100" w:type="dxa"/>
              <w:left w:w="100" w:type="dxa"/>
              <w:right w:w="100" w:type="dxa"/>
            </w:tcMar>
          </w:tcPr>
          <w:p>
            <w:pPr>
              <w:spacing w:after="0"/>
              <w:jc w:val="center"/>
            </w:pPr>
            <w:r>
              <w:rPr>
                <w:sz w:val="19"/>
              </w:rPr>
            </w:r>
          </w:p>
        </w:tc>
        <w:tc>
          <w:tcPr>
            <w:tcW w:type="dxa" w:w="1440"/>
            <w:shd w:fill="F9FAFC"/>
            <w:tcMar>
              <w:top w:w="100" w:type="dxa"/>
              <w:bottom w:w="100" w:type="dxa"/>
              <w:left w:w="100" w:type="dxa"/>
              <w:right w:w="100" w:type="dxa"/>
            </w:tcMar>
          </w:tcPr>
          <w:p>
            <w:pPr>
              <w:spacing w:after="0"/>
              <w:jc w:val="center"/>
            </w:pPr>
            <w:r>
              <w:rPr>
                <w:sz w:val="19"/>
              </w:rPr>
            </w:r>
          </w:p>
        </w:tc>
      </w:tr>
      <w:tr>
        <w:trPr>
          <w:cantSplit/>
        </w:trPr>
        <w:tc>
          <w:tcPr>
            <w:tcW w:type="dxa" w:w="2592"/>
            <w:shd w:fill="FFFFFF"/>
            <w:tcMar>
              <w:top w:w="100" w:type="dxa"/>
              <w:bottom w:w="100" w:type="dxa"/>
              <w:left w:w="100" w:type="dxa"/>
              <w:right w:w="100" w:type="dxa"/>
            </w:tcMar>
          </w:tcPr>
          <w:p>
            <w:pPr>
              <w:spacing w:after="0"/>
              <w:jc w:val="left"/>
            </w:pPr>
            <w:r>
              <w:rPr>
                <w:sz w:val="19"/>
              </w:rPr>
              <w:t>Fee Structure &amp; SLA</w:t>
            </w:r>
          </w:p>
        </w:tc>
        <w:tc>
          <w:tcPr>
            <w:tcW w:type="dxa" w:w="1152"/>
            <w:shd w:fill="FFFFFF"/>
            <w:tcMar>
              <w:top w:w="100" w:type="dxa"/>
              <w:bottom w:w="100" w:type="dxa"/>
              <w:left w:w="100" w:type="dxa"/>
              <w:right w:w="100" w:type="dxa"/>
            </w:tcMar>
          </w:tcPr>
          <w:p>
            <w:pPr>
              <w:spacing w:after="0"/>
              <w:jc w:val="center"/>
            </w:pPr>
            <w:r>
              <w:rPr>
                <w:sz w:val="19"/>
              </w:rPr>
              <w:t>20%</w:t>
            </w:r>
          </w:p>
        </w:tc>
        <w:tc>
          <w:tcPr>
            <w:tcW w:type="dxa" w:w="3456"/>
            <w:shd w:fill="FFFFFF"/>
            <w:tcMar>
              <w:top w:w="100" w:type="dxa"/>
              <w:bottom w:w="100" w:type="dxa"/>
              <w:left w:w="100" w:type="dxa"/>
              <w:right w:w="100" w:type="dxa"/>
            </w:tcMar>
          </w:tcPr>
          <w:p>
            <w:pPr>
              <w:spacing w:after="0"/>
              <w:jc w:val="left"/>
            </w:pPr>
            <w:r>
              <w:rPr>
                <w:sz w:val="19"/>
              </w:rPr>
              <w:t>Fee &lt;= 20%, 90-day replacement guarantee</w:t>
            </w:r>
          </w:p>
        </w:tc>
        <w:tc>
          <w:tcPr>
            <w:tcW w:type="dxa" w:w="1152"/>
            <w:shd w:fill="FFFFFF"/>
            <w:tcMar>
              <w:top w:w="100" w:type="dxa"/>
              <w:bottom w:w="100" w:type="dxa"/>
              <w:left w:w="100" w:type="dxa"/>
              <w:right w:w="100" w:type="dxa"/>
            </w:tcMar>
          </w:tcPr>
          <w:p>
            <w:pPr>
              <w:spacing w:after="0"/>
              <w:jc w:val="center"/>
            </w:pPr>
            <w:r>
              <w:rPr>
                <w:sz w:val="19"/>
              </w:rPr>
            </w:r>
          </w:p>
        </w:tc>
        <w:tc>
          <w:tcPr>
            <w:tcW w:type="dxa" w:w="1440"/>
            <w:shd w:fill="FFFFFF"/>
            <w:tcMar>
              <w:top w:w="100" w:type="dxa"/>
              <w:bottom w:w="100" w:type="dxa"/>
              <w:left w:w="100" w:type="dxa"/>
              <w:right w:w="100" w:type="dxa"/>
            </w:tcMar>
          </w:tcPr>
          <w:p>
            <w:pPr>
              <w:spacing w:after="0"/>
              <w:jc w:val="center"/>
            </w:pPr>
            <w:r>
              <w:rPr>
                <w:sz w:val="19"/>
              </w:rPr>
            </w:r>
          </w:p>
        </w:tc>
      </w:tr>
      <w:tr>
        <w:trPr>
          <w:cantSplit/>
        </w:trPr>
        <w:tc>
          <w:tcPr>
            <w:tcW w:type="dxa" w:w="2592"/>
            <w:shd w:fill="F9FAFC"/>
            <w:tcMar>
              <w:top w:w="100" w:type="dxa"/>
              <w:bottom w:w="100" w:type="dxa"/>
              <w:left w:w="100" w:type="dxa"/>
              <w:right w:w="100" w:type="dxa"/>
            </w:tcMar>
          </w:tcPr>
          <w:p>
            <w:pPr>
              <w:spacing w:after="0"/>
              <w:jc w:val="left"/>
            </w:pPr>
            <w:r>
              <w:rPr>
                <w:sz w:val="19"/>
              </w:rPr>
              <w:t>Sourcing Depth</w:t>
            </w:r>
          </w:p>
        </w:tc>
        <w:tc>
          <w:tcPr>
            <w:tcW w:type="dxa" w:w="1152"/>
            <w:shd w:fill="F9FAFC"/>
            <w:tcMar>
              <w:top w:w="100" w:type="dxa"/>
              <w:bottom w:w="100" w:type="dxa"/>
              <w:left w:w="100" w:type="dxa"/>
              <w:right w:w="100" w:type="dxa"/>
            </w:tcMar>
          </w:tcPr>
          <w:p>
            <w:pPr>
              <w:spacing w:after="0"/>
              <w:jc w:val="center"/>
            </w:pPr>
            <w:r>
              <w:rPr>
                <w:sz w:val="19"/>
              </w:rPr>
              <w:t>10%</w:t>
            </w:r>
          </w:p>
        </w:tc>
        <w:tc>
          <w:tcPr>
            <w:tcW w:type="dxa" w:w="3456"/>
            <w:shd w:fill="F9FAFC"/>
            <w:tcMar>
              <w:top w:w="100" w:type="dxa"/>
              <w:bottom w:w="100" w:type="dxa"/>
              <w:left w:w="100" w:type="dxa"/>
              <w:right w:w="100" w:type="dxa"/>
            </w:tcMar>
          </w:tcPr>
          <w:p>
            <w:pPr>
              <w:spacing w:after="0"/>
              <w:jc w:val="left"/>
            </w:pPr>
            <w:r>
              <w:rPr>
                <w:sz w:val="19"/>
              </w:rPr>
              <w:t>Access to passive talent &amp; specialized networks</w:t>
            </w:r>
          </w:p>
        </w:tc>
        <w:tc>
          <w:tcPr>
            <w:tcW w:type="dxa" w:w="1152"/>
            <w:shd w:fill="F9FAFC"/>
            <w:tcMar>
              <w:top w:w="100" w:type="dxa"/>
              <w:bottom w:w="100" w:type="dxa"/>
              <w:left w:w="100" w:type="dxa"/>
              <w:right w:w="100" w:type="dxa"/>
            </w:tcMar>
          </w:tcPr>
          <w:p>
            <w:pPr>
              <w:spacing w:after="0"/>
              <w:jc w:val="center"/>
            </w:pPr>
            <w:r>
              <w:rPr>
                <w:sz w:val="19"/>
              </w:rPr>
            </w:r>
          </w:p>
        </w:tc>
        <w:tc>
          <w:tcPr>
            <w:tcW w:type="dxa" w:w="1440"/>
            <w:shd w:fill="F9FAFC"/>
            <w:tcMar>
              <w:top w:w="100" w:type="dxa"/>
              <w:bottom w:w="100" w:type="dxa"/>
              <w:left w:w="100" w:type="dxa"/>
              <w:right w:w="100" w:type="dxa"/>
            </w:tcMar>
          </w:tcPr>
          <w:p>
            <w:pPr>
              <w:spacing w:after="0"/>
              <w:jc w:val="center"/>
            </w:pPr>
            <w:r>
              <w:rPr>
                <w:sz w:val="19"/>
              </w:rPr>
            </w:r>
          </w:p>
        </w:tc>
      </w:tr>
      <w:tr>
        <w:trPr>
          <w:cantSplit/>
        </w:trPr>
        <w:tc>
          <w:tcPr>
            <w:tcW w:type="dxa" w:w="2592"/>
            <w:shd w:fill="FFFFFF"/>
            <w:tcMar>
              <w:top w:w="100" w:type="dxa"/>
              <w:bottom w:w="100" w:type="dxa"/>
              <w:left w:w="100" w:type="dxa"/>
              <w:right w:w="100" w:type="dxa"/>
            </w:tcMar>
          </w:tcPr>
          <w:p>
            <w:pPr>
              <w:spacing w:after="0"/>
              <w:jc w:val="left"/>
            </w:pPr>
            <w:r>
              <w:rPr>
                <w:sz w:val="19"/>
              </w:rPr>
              <w:t>Communication</w:t>
            </w:r>
          </w:p>
        </w:tc>
        <w:tc>
          <w:tcPr>
            <w:tcW w:type="dxa" w:w="1152"/>
            <w:shd w:fill="FFFFFF"/>
            <w:tcMar>
              <w:top w:w="100" w:type="dxa"/>
              <w:bottom w:w="100" w:type="dxa"/>
              <w:left w:w="100" w:type="dxa"/>
              <w:right w:w="100" w:type="dxa"/>
            </w:tcMar>
          </w:tcPr>
          <w:p>
            <w:pPr>
              <w:spacing w:after="0"/>
              <w:jc w:val="center"/>
            </w:pPr>
            <w:r>
              <w:rPr>
                <w:sz w:val="19"/>
              </w:rPr>
              <w:t>10%</w:t>
            </w:r>
          </w:p>
        </w:tc>
        <w:tc>
          <w:tcPr>
            <w:tcW w:type="dxa" w:w="3456"/>
            <w:shd w:fill="FFFFFF"/>
            <w:tcMar>
              <w:top w:w="100" w:type="dxa"/>
              <w:bottom w:w="100" w:type="dxa"/>
              <w:left w:w="100" w:type="dxa"/>
              <w:right w:w="100" w:type="dxa"/>
            </w:tcMar>
          </w:tcPr>
          <w:p>
            <w:pPr>
              <w:spacing w:after="0"/>
              <w:jc w:val="left"/>
            </w:pPr>
            <w:r>
              <w:rPr>
                <w:sz w:val="19"/>
              </w:rPr>
              <w:t>Weekly status reports &amp; transparent feedback</w:t>
            </w:r>
          </w:p>
        </w:tc>
        <w:tc>
          <w:tcPr>
            <w:tcW w:type="dxa" w:w="1152"/>
            <w:shd w:fill="FFFFFF"/>
            <w:tcMar>
              <w:top w:w="100" w:type="dxa"/>
              <w:bottom w:w="100" w:type="dxa"/>
              <w:left w:w="100" w:type="dxa"/>
              <w:right w:w="100" w:type="dxa"/>
            </w:tcMar>
          </w:tcPr>
          <w:p>
            <w:pPr>
              <w:spacing w:after="0"/>
              <w:jc w:val="center"/>
            </w:pPr>
            <w:r>
              <w:rPr>
                <w:sz w:val="19"/>
              </w:rPr>
            </w:r>
          </w:p>
        </w:tc>
        <w:tc>
          <w:tcPr>
            <w:tcW w:type="dxa" w:w="1440"/>
            <w:shd w:fill="FFFFFF"/>
            <w:tcMar>
              <w:top w:w="100" w:type="dxa"/>
              <w:bottom w:w="100" w:type="dxa"/>
              <w:left w:w="100" w:type="dxa"/>
              <w:right w:w="100" w:type="dxa"/>
            </w:tcMar>
          </w:tcPr>
          <w:p>
            <w:pPr>
              <w:spacing w:after="0"/>
              <w:jc w:val="center"/>
            </w:pPr>
            <w:r>
              <w:rPr>
                <w:sz w:val="19"/>
              </w:rPr>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