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Employee Handbook — Summary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Core policies: PTO, remote work, expenses, conduct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Knowledge base document for the HR Onboarding AI Assistant project. Replace all [bracketed] placeholders with your company's real information before uploading.</w:t>
      </w:r>
    </w:p>
    <w:p>
      <w:pPr>
        <w:pBdr>
          <w:bottom w:val="single" w:color="AAAAAA" w:sz="6" w:space="1"/>
        </w:pBdr>
        <w:spacing w:after="200" w:before="200"/>
      </w:pPr>
    </w:p>
    <w:p>
      <w:pPr>
        <w:spacing w:after="160"/>
      </w:pPr>
      <w:r>
        <w:t xml:space="preserve">This is a condensed summary of [Company Name]'s employee handbook, covering the policies new hires ask about most. It applies to all employees. The full handbook lives at [link to full handbook / HRIS policy library].</w:t>
      </w:r>
    </w:p>
    <w:p>
      <w:pPr>
        <w:pStyle w:val="Heading2"/>
        <w:spacing w:after="140" w:before="320"/>
      </w:pPr>
      <w:r>
        <w:t xml:space="preserve">Employment Basics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Employment types: full-time, part-time, and contract, as defined in your offer letter.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Probation / introductory period: [X months], with a check-in at [milestone].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 work hours: [e.g., 9:00 AM – 6:00 PM, with core hours of 11 AM – 4 PM].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 location policy: [remote / hybrid — X days in office / fully on-site], set by role and team.</w:t>
      </w:r>
    </w:p>
    <w:p>
      <w:pPr>
        <w:pStyle w:val="Heading2"/>
        <w:spacing w:after="140" w:before="320"/>
      </w:pPr>
      <w:r>
        <w:t xml:space="preserve">Time Off &amp; Leave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Paid time off (PTO): [e.g., 20 days/year, accrued monthly] — request through [HRIS/tool name].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Sick leave: [X days/year], no documentation required under [X consecutive days].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 holidays: see the holiday calendar at [link].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Parental leave: [X weeks paid], details and eligibility at [link/policy].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Bereavement, jury duty, and other leave types: see [link/policy] or ask HR.</w:t>
      </w:r>
    </w:p>
    <w:p>
      <w:pPr>
        <w:pStyle w:val="Heading2"/>
        <w:spacing w:after="140" w:before="320"/>
      </w:pPr>
      <w:r>
        <w:t xml:space="preserve">Remote &amp; Hybrid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Eligibility depends on role — check with your manager if unsure.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to be reachable during core hours: [11 AM – 4 PM] your local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office / equipment stipend: [$X, reimbursed via [process]].</w:t>
      </w:r>
    </w:p>
    <w:p>
      <w:pPr>
        <w:pStyle w:val="Heading2"/>
        <w:spacing w:after="140" w:before="320"/>
      </w:pPr>
      <w:r>
        <w:t xml:space="preserve">Compensation &amp; Payroll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 schedule: [e.g., 1st and 15th of each month], paid via [payroll provider].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Overtime policy: [applies to non-exempt roles; approval required in advance].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Expense reimbursement: submit via [tool name] within [X days] of the expense; receipts required over [$X].</w:t>
      </w:r>
    </w:p>
    <w:p>
      <w:pPr>
        <w:pStyle w:val="Heading2"/>
        <w:spacing w:after="140" w:before="320"/>
      </w:pPr>
      <w:r>
        <w:t xml:space="preserve">Code of Conduct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Professional behavior: treat colleagues, clients, and partners with respect at all times.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Anti-harassment &amp; non-discrimination: [Company Name] has zero tolerance for harassment or discrimination of any kind. Report concerns per the Grievance Procedure below.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Conflict of interest: disclose any outside work, financial interest, or relationship that could conflict with your role.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Confidentiality &amp; IP: company and client information is confidential; work product created on the job belongs to [Company Name], per your employment agreement.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 media &amp; external communications: [guidelines on speaking publicly about the company].</w:t>
      </w:r>
    </w:p>
    <w:p>
      <w:pPr>
        <w:pStyle w:val="Heading2"/>
        <w:spacing w:after="140" w:before="320"/>
      </w:pPr>
      <w:r>
        <w:t xml:space="preserve">Dress Code</w:t>
      </w:r>
    </w:p>
    <w:p>
      <w:pPr>
        <w:spacing w:after="160"/>
      </w:pPr>
      <w:r>
        <w:t xml:space="preserve">[e.g., Casual — dress comfortably; use judgment for client-facing meetings or events.]</w:t>
      </w:r>
    </w:p>
    <w:p>
      <w:pPr>
        <w:pStyle w:val="Heading2"/>
        <w:spacing w:after="140" w:before="320"/>
      </w:pPr>
      <w:r>
        <w:t xml:space="preserve">Health &amp; Safety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workplace safety concerns or incidents to [contact/team].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Emergency procedures are posted [location] and covered in orientation.</w:t>
      </w:r>
    </w:p>
    <w:p>
      <w:pPr>
        <w:pStyle w:val="Heading2"/>
        <w:spacing w:after="140" w:before="320"/>
      </w:pPr>
      <w:r>
        <w:t xml:space="preserve">Performance &amp; Growth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Formal performance reviews happen [every 6 / 12 months].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Goals are set and tracked in [tool/process].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Promotion and internal mobility process: [brief description or link].</w:t>
      </w:r>
    </w:p>
    <w:p>
      <w:pPr>
        <w:pStyle w:val="Heading2"/>
        <w:spacing w:after="140" w:before="320"/>
      </w:pPr>
      <w:r>
        <w:t xml:space="preserve">Grievance &amp; Escalation Procedure</w:t>
      </w:r>
    </w:p>
    <w:p>
      <w:pPr>
        <w:spacing w:after="120"/>
        <w:ind w:left="200"/>
      </w:pPr>
      <w:r>
        <w:rPr>
          <w:b/>
          <w:bCs/>
        </w:rPr>
        <w:t xml:space="preserve">1.  </w:t>
      </w:r>
      <w:r>
        <w:t xml:space="preserve">Raise the concern with your manager, if appropriate and comfortable.</w:t>
      </w:r>
    </w:p>
    <w:p>
      <w:pPr>
        <w:spacing w:after="120"/>
        <w:ind w:left="200"/>
      </w:pPr>
      <w:r>
        <w:rPr>
          <w:b/>
          <w:bCs/>
        </w:rPr>
        <w:t xml:space="preserve">2.  </w:t>
      </w:r>
      <w:r>
        <w:t xml:space="preserve">If not appropriate, or unresolved, contact HR directly at [HR contact/email].</w:t>
      </w:r>
    </w:p>
    <w:p>
      <w:pPr>
        <w:spacing w:after="120"/>
        <w:ind w:left="200"/>
      </w:pPr>
      <w:r>
        <w:rPr>
          <w:b/>
          <w:bCs/>
        </w:rPr>
        <w:t xml:space="preserve">3.  </w:t>
      </w:r>
      <w:r>
        <w:t xml:space="preserve">For harassment, discrimination, or urgent concerns, contact [ER contact/email] directly — you do not need to go through your manager first.</w:t>
      </w:r>
    </w:p>
    <w:p>
      <w:pPr>
        <w:spacing w:after="160"/>
      </w:pPr>
      <w:r>
        <w:t xml:space="preserve">[Company Name] does not tolerate retaliation against anyone who raises a concern in good faith.</w:t>
      </w:r>
    </w:p>
    <w:p>
      <w:pPr>
        <w:pStyle w:val="Heading2"/>
        <w:spacing w:after="140" w:before="320"/>
      </w:pPr>
      <w:r>
        <w:t xml:space="preserve">Separation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Resignation notice period: [X weeks].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Exit process: equipment return, access revocation, and final pay handled by [HR/IT].</w:t>
      </w:r>
    </w:p>
    <w:p>
      <w:pPr>
        <w:pStyle w:val="Heading2"/>
        <w:spacing w:after="140" w:before="320"/>
      </w:pPr>
      <w:r>
        <w:t xml:space="preserve">Policy Updates</w:t>
      </w:r>
    </w:p>
    <w:p>
      <w:pPr>
        <w:spacing w:after="160"/>
      </w:pPr>
      <w:r>
        <w:t xml:space="preserve">This handbook is reviewed [annually / as needed]. The current version always lives at [link]. Last updated: [date].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2026-08-18T13:27:34.038Z</dcterms:created>
  <dcterms:modified xsi:type="dcterms:W3CDTF">2026-08-18T13:27:34.053Z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