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Benefits Guide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What's offered, enrollment deadlines, portal links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Knowledge base document for the HR Onboarding AI Assistant project. Replace all [bracketed] placeholders with your company's real information before uploading.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60"/>
      </w:pPr>
      <w:r>
        <w:t xml:space="preserve">This guide summarizes the benefits available at [Company Name]. Full plan documents and account-specific details (claims, premiums, dependents) are managed through [Benefits Provider / Portal Name] — this document covers what's offered and how to enroll.</w:t>
      </w:r>
    </w:p>
    <w:p>
      <w:pPr>
        <w:pStyle w:val="Heading2"/>
        <w:spacing w:after="140" w:before="320"/>
      </w:pPr>
      <w:r>
        <w:t xml:space="preserve">Eligibility</w:t>
      </w:r>
    </w:p>
    <w:p>
      <w:pPr>
        <w:spacing w:after="160"/>
      </w:pPr>
      <w:r>
        <w:t xml:space="preserve">Full-time employees are eligible for benefits starting [date, e.g., day 1 / after 30 days]. Part-time/contract eligibility: [details].</w:t>
      </w:r>
    </w:p>
    <w:p>
      <w:pPr>
        <w:pStyle w:val="Heading2"/>
        <w:spacing w:after="140" w:before="320"/>
      </w:pPr>
      <w:r>
        <w:t xml:space="preserve">Health Insurance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Provider: [Benefits Provider Name]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Coverage tiers: Employee Only / Employee + Spouse / Employee + Family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What's covered: [medical, prescription drugs, preventive care — summarize]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Employer contribution: [Company Name] covers [X%] of the premium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Enroll or make changes at: [portal link]</w:t>
      </w:r>
    </w:p>
    <w:p>
      <w:pPr>
        <w:pStyle w:val="Heading2"/>
        <w:spacing w:after="140" w:before="320"/>
      </w:pPr>
      <w:r>
        <w:t xml:space="preserve">Dental &amp; Vision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Provider: [Provider Name]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Coverage summary: [details]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Enroll at: [portal link]</w:t>
      </w:r>
    </w:p>
    <w:p>
      <w:pPr>
        <w:pStyle w:val="Heading2"/>
        <w:spacing w:after="140" w:before="320"/>
      </w:pPr>
      <w:r>
        <w:t xml:space="preserve">Retirement / Provident Fund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Plan: [401(k) / PF / pension scheme name]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contribution options: [details]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Employer match: [Company Name] matches [X%] up to [Y%]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Vesting schedule: [details]</w:t>
      </w:r>
    </w:p>
    <w:p>
      <w:pPr>
        <w:pStyle w:val="Heading2"/>
        <w:spacing w:after="140" w:before="320"/>
      </w:pPr>
      <w:r>
        <w:t xml:space="preserve">Life &amp; Disability Insurance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Coverage amount: [X times annual salary], provided at no cost to you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Supplemental coverage available: [details/cost]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 your beneficiary at: [portal link]</w:t>
      </w:r>
    </w:p>
    <w:p>
      <w:pPr>
        <w:pStyle w:val="Heading2"/>
        <w:spacing w:after="140" w:before="320"/>
      </w:pPr>
      <w:r>
        <w:t xml:space="preserve">Time Off</w:t>
      </w:r>
    </w:p>
    <w:p>
      <w:pPr>
        <w:spacing w:after="160"/>
      </w:pPr>
      <w:r>
        <w:t xml:space="preserve">PTO, sick leave, and holidays are covered in the Employee Handbook — this guide focuses on insurance and retirement benefits.</w:t>
      </w:r>
    </w:p>
    <w:p>
      <w:pPr>
        <w:pStyle w:val="Heading2"/>
        <w:spacing w:after="140" w:before="320"/>
      </w:pPr>
      <w:r>
        <w:t xml:space="preserve">Wellness &amp; Other Perks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Mental health / Employee Assistance Program (EAP): [details, confidential access info]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Gym / wellness reimbursement: [$X per year/month]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Commute or meal allowance: [details]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&amp; development budget: [$X per year, how to use it]</w:t>
      </w:r>
    </w:p>
    <w:p>
      <w:pPr>
        <w:pStyle w:val="Heading2"/>
        <w:spacing w:after="140" w:before="320"/>
      </w:pPr>
      <w:r>
        <w:t xml:space="preserve">Key Dates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40"/>
      </w:tblGrid>
      <w:tr>
        <w:trPr>
          <w:tblHeader/>
        </w:trPr>
        <w:tc>
          <w:tcPr>
            <w:tcW w:type="dxa" w:w="4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55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hire enrollment deadline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[X days from start date]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open enrollment window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[e.g., Nov 1 – Nov 15]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year start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[e.g., January 1]</w:t>
            </w:r>
          </w:p>
        </w:tc>
      </w:tr>
    </w:tbl>
    <w:p>
      <w:pPr>
        <w:pStyle w:val="Heading2"/>
        <w:spacing w:after="140" w:before="320"/>
      </w:pPr>
      <w:r>
        <w:t xml:space="preserve">Qualifying Life Events</w:t>
      </w:r>
    </w:p>
    <w:p>
      <w:pPr>
        <w:spacing w:after="160"/>
      </w:pPr>
      <w:r>
        <w:t xml:space="preserve">Marriage, birth/adoption, divorce, or loss of other coverage let you change your benefits outside the open enrollment window. You must report the change and submit documentation within [30 days] of the event via [portal link].</w:t>
      </w:r>
    </w:p>
    <w:p>
      <w:pPr>
        <w:pStyle w:val="Heading2"/>
        <w:spacing w:after="140" w:before="320"/>
      </w:pPr>
      <w:r>
        <w:t xml:space="preserve">Who to 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Enrollment and plan questions: [Benefits Provider Portal / support line]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 benefits questions: [HR Benefits contact/email]</w:t>
      </w:r>
    </w:p>
    <w:p>
      <w:pPr>
        <w:spacing w:after="160"/>
      </w:pPr>
      <w:r>
        <w:t xml:space="preserve">Claims, premium amounts, and other account-specific questions should go directly to [Benefits Provider], not HR chat, since they require access to your individual account.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2026-08-18T13:27:34.089Z</dcterms:created>
  <dcterms:modified xsi:type="dcterms:W3CDTF">2026-08-18T13:27:34.089Z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