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Customized Recruitment Agency Scorecard</w:t>
      </w:r>
    </w:p>
    <w:p>
      <w:pPr>
        <w:spacing w:after="280"/>
      </w:pPr>
      <w:r>
        <w:rPr>
          <w:i/>
          <w:color w:val="4682B4"/>
          <w:sz w:val="22"/>
        </w:rPr>
        <w:t>Vendor Assessment &amp; Performance Comparison Matrix</w:t>
      </w:r>
    </w:p>
    <w:p>
      <w:pPr>
        <w:spacing w:after="240"/>
      </w:pPr>
      <w:r>
        <w:rPr>
          <w:b/>
        </w:rPr>
        <w:t xml:space="preserve">Agency Evaluated: </w:t>
      </w:r>
      <w:r>
        <w:t xml:space="preserve">_______________________          </w:t>
      </w:r>
      <w:r>
        <w:rPr>
          <w:b/>
        </w:rPr>
        <w:t xml:space="preserve">Evaluator Name: </w:t>
      </w:r>
      <w:r>
        <w:t xml:space="preserve">_______________________          </w:t>
      </w:r>
      <w:r>
        <w:rPr>
          <w:b/>
        </w:rPr>
        <w:t xml:space="preserve">Date: </w:t>
      </w:r>
      <w:r>
        <w:t>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31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Category &amp; Specific Metric</w:t>
            </w:r>
          </w:p>
        </w:tc>
        <w:tc>
          <w:tcPr>
            <w:tcW w:type="dxa" w:w="100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331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Performance Standard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Score (1-5)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Weighted Score</w:t>
            </w:r>
          </w:p>
        </w:tc>
      </w:tr>
      <w:tr>
        <w:trPr>
          <w:cantSplit/>
        </w:trPr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  <w:t>1. Quality of Candidates</w:t>
            </w:r>
          </w:p>
        </w:tc>
        <w:tc>
          <w:tcPr>
            <w:tcW w:type="dxa" w:w="1008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15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296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Interview-to-Offer Ratio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&gt; 30% of submitted candidates reach interview stage</w:t>
            </w:r>
          </w:p>
        </w:tc>
        <w:tc>
          <w:tcPr>
            <w:tcW w:type="dxa" w:w="115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Offer Acceptance Rate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&gt; 85% of extended offers accepted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  <w:t>2. Speed &amp; Delivery</w:t>
            </w:r>
          </w:p>
        </w:tc>
        <w:tc>
          <w:tcPr>
            <w:tcW w:type="dxa" w:w="1008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15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296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Time-to-First Shortlist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Qualified candidate pool delivered within 5 business days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Average Time-to-Fill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Role successfully filled within agreed SLA window (e.g., 30 days)</w:t>
            </w:r>
          </w:p>
        </w:tc>
        <w:tc>
          <w:tcPr>
            <w:tcW w:type="dxa" w:w="115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  <w:t>3. Cost &amp; Commercial Terms</w:t>
            </w:r>
          </w:p>
        </w:tc>
        <w:tc>
          <w:tcPr>
            <w:tcW w:type="dxa" w:w="1008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15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296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Placement Fee Structure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Competitive fee % relative to market rates (e.g., 15-20%)</w:t>
            </w:r>
          </w:p>
        </w:tc>
        <w:tc>
          <w:tcPr>
            <w:tcW w:type="dxa" w:w="115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Replacement Guarantee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At least 90-day full replacement guarantee period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  <w:t>4. Market Expertise &amp; Sourcing</w:t>
            </w:r>
          </w:p>
        </w:tc>
        <w:tc>
          <w:tcPr>
            <w:tcW w:type="dxa" w:w="1008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15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296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Niche/Technical Knowledge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Deep understanding of skill set requirements &amp; candidate pool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  <w:t>5. Communication &amp; Brand Representation</w:t>
            </w:r>
          </w:p>
        </w:tc>
        <w:tc>
          <w:tcPr>
            <w:tcW w:type="dxa" w:w="1008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331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152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  <w:tc>
          <w:tcPr>
            <w:tcW w:type="dxa" w:w="1296"/>
            <w:shd w:fill="E9ECE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SLA Compliance &amp; Reporting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Timely feedback, clear status reports, professional candidate management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 xml:space="preserve">  • Employer Brand Protection</w:t>
            </w:r>
          </w:p>
        </w:tc>
        <w:tc>
          <w:tcPr>
            <w:tcW w:type="dxa" w:w="100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Accurately represents organization culture and value proposition</w:t>
            </w:r>
          </w:p>
        </w:tc>
        <w:tc>
          <w:tcPr>
            <w:tcW w:type="dxa" w:w="115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shd w:fill="EBF1F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20"/>
              </w:rPr>
              <w:t>FINAL OVERALL SCORE</w:t>
            </w:r>
          </w:p>
        </w:tc>
        <w:tc>
          <w:tcPr>
            <w:tcW w:type="dxa" w:w="1008"/>
            <w:shd w:fill="EBF1F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100%</w:t>
            </w:r>
          </w:p>
        </w:tc>
        <w:tc>
          <w:tcPr>
            <w:tcW w:type="dxa" w:w="3312"/>
            <w:shd w:fill="EBF1F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1B365D"/>
                <w:sz w:val="20"/>
              </w:rPr>
            </w:r>
          </w:p>
        </w:tc>
        <w:tc>
          <w:tcPr>
            <w:tcW w:type="dxa" w:w="1152"/>
            <w:shd w:fill="EBF1F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</w:r>
          </w:p>
        </w:tc>
        <w:tc>
          <w:tcPr>
            <w:tcW w:type="dxa" w:w="1296"/>
            <w:shd w:fill="EBF1F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20"/>
              </w:rPr>
              <w:t>[   ] / 5.0</w:t>
            </w:r>
          </w:p>
        </w:tc>
      </w:tr>
    </w:tbl>
    <w:p>
      <w:pPr>
        <w:spacing w:before="280" w:after="80"/>
      </w:pPr>
      <w:r>
        <w:rPr>
          <w:b/>
          <w:color w:val="1B365D"/>
        </w:rPr>
        <w:t>Scoring Key (1-5 Scale):</w:t>
      </w:r>
    </w:p>
    <w:p>
      <w:pPr>
        <w:spacing w:after="40"/>
        <w:ind w:left="288"/>
      </w:pPr>
      <w:r>
        <w:rPr>
          <w:b/>
          <w:sz w:val="18"/>
        </w:rPr>
        <w:t xml:space="preserve">1 - Unacceptable: </w:t>
      </w:r>
      <w:r>
        <w:rPr>
          <w:sz w:val="18"/>
        </w:rPr>
        <w:t>Fails to meet minimum requirements; frequent issues.</w:t>
      </w:r>
    </w:p>
    <w:p>
      <w:pPr>
        <w:spacing w:after="40"/>
        <w:ind w:left="288"/>
      </w:pPr>
      <w:r>
        <w:rPr>
          <w:b/>
          <w:sz w:val="18"/>
        </w:rPr>
        <w:t xml:space="preserve">2 - Below Expectations: </w:t>
      </w:r>
      <w:r>
        <w:rPr>
          <w:sz w:val="18"/>
        </w:rPr>
        <w:t>Occasionally meets metrics; inconsistent quality or delay.</w:t>
      </w:r>
    </w:p>
    <w:p>
      <w:pPr>
        <w:spacing w:after="40"/>
        <w:ind w:left="288"/>
      </w:pPr>
      <w:r>
        <w:rPr>
          <w:b/>
          <w:sz w:val="18"/>
        </w:rPr>
        <w:t xml:space="preserve">3 - Meets Expectations: </w:t>
      </w:r>
      <w:r>
        <w:rPr>
          <w:sz w:val="18"/>
        </w:rPr>
        <w:t>Consistently meets defined SLA standards and job specs.</w:t>
      </w:r>
    </w:p>
    <w:p>
      <w:pPr>
        <w:spacing w:after="40"/>
        <w:ind w:left="288"/>
      </w:pPr>
      <w:r>
        <w:rPr>
          <w:b/>
          <w:sz w:val="18"/>
        </w:rPr>
        <w:t xml:space="preserve">4 - Exceeds Expectations: </w:t>
      </w:r>
      <w:r>
        <w:rPr>
          <w:sz w:val="18"/>
        </w:rPr>
        <w:t>Delivers above average speed, candidate fit, and communication.</w:t>
      </w:r>
    </w:p>
    <w:p>
      <w:pPr>
        <w:spacing w:after="40"/>
        <w:ind w:left="288"/>
      </w:pPr>
      <w:r>
        <w:rPr>
          <w:b/>
          <w:sz w:val="18"/>
        </w:rPr>
        <w:t xml:space="preserve">5 - Outstanding: </w:t>
      </w:r>
      <w:r>
        <w:rPr>
          <w:sz w:val="18"/>
        </w:rPr>
        <w:t>Exceptional partner; top tier quality, proactive, highly cost-effective.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