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B365D"/>
          <w:sz w:val="40"/>
        </w:rPr>
        <w:t>Tutorial: Gemini Agents for Recruitment Agency Evaluation</w:t>
      </w:r>
    </w:p>
    <w:p>
      <w:pPr>
        <w:spacing w:after="280"/>
      </w:pPr>
      <w:r>
        <w:rPr>
          <w:i/>
          <w:color w:val="4682B4"/>
          <w:sz w:val="22"/>
        </w:rPr>
        <w:t>Step-by-Step Implementation Guide for Custom Gems &amp; Automation</w:t>
      </w:r>
    </w:p>
    <w:p>
      <w:r>
        <w:t>This step-by-step tutorial explains how to set up, configure, and operate a customized Gemini Agent (or custom Gem) to automatically evaluate recruitment agency vendor performance using our standardized weighted scorecard framework.</w:t>
      </w:r>
    </w:p>
    <w:p>
      <w:pPr>
        <w:spacing w:before="240" w:after="80"/>
      </w:pPr>
      <w:r>
        <w:rPr>
          <w:b/>
          <w:color w:val="1B365D"/>
          <w:sz w:val="26"/>
        </w:rPr>
        <w:t>Step 1: Save and Store Your Scorecard Template</w:t>
      </w:r>
    </w:p>
    <w:p>
      <w:pPr>
        <w:pStyle w:val="ListBullet"/>
      </w:pPr>
      <w:r>
        <w:rPr>
          <w:color w:val="333333"/>
        </w:rPr>
        <w:t xml:space="preserve">Save the </w:t>
      </w:r>
      <w:r>
        <w:rPr>
          <w:b/>
        </w:rPr>
        <w:t>Customized_Recruitment_Agency_Scorecard.docx</w:t>
      </w:r>
      <w:r>
        <w:t xml:space="preserve"> file in your Google Drive or centralized HR repository.</w:t>
      </w:r>
    </w:p>
    <w:p>
      <w:pPr>
        <w:pStyle w:val="ListBullet"/>
      </w:pPr>
      <w:r>
        <w:t>Ensure all hiring managers, HR business partners, and procurement evaluators have access to the standard weights and performance standards.</w:t>
      </w:r>
    </w:p>
    <w:p>
      <w:pPr>
        <w:spacing w:before="240" w:after="80"/>
      </w:pPr>
      <w:r>
        <w:rPr>
          <w:b/>
          <w:color w:val="1B365D"/>
          <w:sz w:val="26"/>
        </w:rPr>
        <w:t>Step 2: Create a Custom 'Gem' (Gemini Agent)</w:t>
      </w:r>
    </w:p>
    <w:p>
      <w:r>
        <w:t>Follow these setup steps inside Gemini:</w:t>
      </w:r>
    </w:p>
    <w:p>
      <w:pPr>
        <w:pStyle w:val="ListBullet"/>
      </w:pPr>
      <w:r>
        <w:rPr>
          <w:color w:val="333333"/>
        </w:rPr>
        <w:t xml:space="preserve">Open </w:t>
      </w:r>
      <w:r>
        <w:rPr>
          <w:b/>
        </w:rPr>
        <w:t>Gemini</w:t>
      </w:r>
      <w:r>
        <w:t xml:space="preserve"> in your browser or Google Workspace interface.</w:t>
      </w:r>
    </w:p>
    <w:p>
      <w:pPr>
        <w:pStyle w:val="ListBullet"/>
      </w:pPr>
      <w:r>
        <w:rPr>
          <w:color w:val="333333"/>
        </w:rPr>
        <w:t xml:space="preserve">In the left sidebar, click </w:t>
      </w:r>
      <w:r>
        <w:rPr>
          <w:b/>
        </w:rPr>
        <w:t>Gems</w:t>
      </w:r>
      <w:r>
        <w:rPr>
          <w:color w:val="333333"/>
        </w:rPr>
        <w:t xml:space="preserve"> and select </w:t>
      </w:r>
      <w:r>
        <w:rPr>
          <w:b/>
        </w:rPr>
        <w:t>New Gem</w:t>
      </w:r>
      <w:r>
        <w:rPr>
          <w:color w:val="333333"/>
        </w:rPr>
        <w:t xml:space="preserve"> (or </w:t>
      </w:r>
      <w:r>
        <w:rPr>
          <w:i/>
        </w:rPr>
        <w:t>Create Custom Gem</w:t>
      </w:r>
      <w:r>
        <w:t>).</w:t>
      </w:r>
    </w:p>
    <w:p>
      <w:pPr>
        <w:pStyle w:val="ListBullet"/>
      </w:pPr>
      <w:r>
        <w:rPr>
          <w:color w:val="333333"/>
        </w:rPr>
        <w:t xml:space="preserve">Name your Gem: </w:t>
      </w:r>
      <w:r>
        <w:rPr>
          <w:b/>
        </w:rPr>
        <w:t>Recruitment Agency Evaluator</w:t>
      </w:r>
      <w:r>
        <w:t>.</w:t>
      </w:r>
    </w:p>
    <w:p>
      <w:pPr>
        <w:pStyle w:val="ListBullet"/>
      </w:pPr>
      <w:r>
        <w:rPr>
          <w:color w:val="333333"/>
        </w:rPr>
        <w:t xml:space="preserve">Set the </w:t>
      </w:r>
      <w:r>
        <w:rPr>
          <w:b/>
        </w:rPr>
        <w:t>Instructions (System Prompt)</w:t>
      </w:r>
      <w:r>
        <w:t xml:space="preserve"> using the code snippet below: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b/>
                <w:color w:val="1B365D"/>
                <w:sz w:val="20"/>
              </w:rPr>
              <w:t>Gemini System Prompt Configuration</w:t>
              <w:br/>
            </w:r>
          </w:p>
          <w:p>
            <w:pPr>
              <w:spacing w:after="40"/>
            </w:pPr>
            <w:r>
              <w:rPr>
                <w:b/>
                <w:color w:val="1B365D"/>
                <w:sz w:val="19"/>
              </w:rPr>
              <w:t>System Instructions:</w:t>
            </w:r>
          </w:p>
          <w:p>
            <w:pPr>
              <w:spacing w:after="40"/>
            </w:pPr>
            <w:r>
              <w:rPr>
                <w:color w:val="3C3C3C"/>
                <w:sz w:val="19"/>
              </w:rPr>
              <w:t>You are an AI Vendor Management Specialist. Your job is to evaluate recruitment agency proposals, quarterly metrics, or performance reports using our official weighted scoring framework.</w:t>
            </w:r>
          </w:p>
          <w:p>
            <w:pPr>
              <w:spacing w:after="40"/>
            </w:pPr>
            <w:r>
              <w:rPr>
                <w:color w:val="3C3C3C"/>
                <w:sz w:val="19"/>
              </w:rPr>
            </w:r>
          </w:p>
          <w:p>
            <w:pPr>
              <w:spacing w:after="40"/>
            </w:pPr>
            <w:r>
              <w:rPr>
                <w:color w:val="3C3C3C"/>
                <w:sz w:val="19"/>
              </w:rPr>
              <w:t>Scoring Rules:</w:t>
            </w:r>
          </w:p>
          <w:p>
            <w:pPr>
              <w:spacing w:after="40"/>
            </w:pPr>
            <w:r>
              <w:rPr>
                <w:color w:val="3C3C3C"/>
                <w:sz w:val="19"/>
              </w:rPr>
              <w:t>• Candidate Quality (35% total weight): Interview-to-Offer Ratio (20%), Offer Acceptance Rate (15%).</w:t>
            </w:r>
          </w:p>
          <w:p>
            <w:pPr>
              <w:spacing w:after="40"/>
            </w:pPr>
            <w:r>
              <w:rPr>
                <w:color w:val="3C3C3C"/>
                <w:sz w:val="19"/>
              </w:rPr>
              <w:t>• Speed &amp; Delivery (25% total weight): Time-to-First Shortlist (15%), Average Time-to-Fill (10%).</w:t>
            </w:r>
          </w:p>
          <w:p>
            <w:pPr>
              <w:spacing w:after="40"/>
            </w:pPr>
            <w:r>
              <w:rPr>
                <w:color w:val="3C3C3C"/>
                <w:sz w:val="19"/>
              </w:rPr>
              <w:t>• Cost &amp; Terms (20% total weight): Fee % (15%), Replacement Guarantee (5%).</w:t>
            </w:r>
          </w:p>
          <w:p>
            <w:pPr>
              <w:spacing w:after="40"/>
            </w:pPr>
            <w:r>
              <w:rPr>
                <w:color w:val="3C3C3C"/>
                <w:sz w:val="19"/>
              </w:rPr>
              <w:t>• Market Expertise (10% total weight): Niche/Technical Knowledge (10%).</w:t>
            </w:r>
          </w:p>
          <w:p>
            <w:pPr>
              <w:spacing w:after="40"/>
            </w:pPr>
            <w:r>
              <w:rPr>
                <w:color w:val="3C3C3C"/>
                <w:sz w:val="19"/>
              </w:rPr>
              <w:t>• Communication &amp; Brand (10% total weight): SLA Compliance (5%), Brand Protection (5%).</w:t>
            </w:r>
          </w:p>
          <w:p>
            <w:pPr>
              <w:spacing w:after="40"/>
            </w:pPr>
            <w:r>
              <w:rPr>
                <w:color w:val="3C3C3C"/>
                <w:sz w:val="19"/>
              </w:rPr>
            </w:r>
          </w:p>
          <w:p>
            <w:pPr>
              <w:spacing w:after="40"/>
            </w:pPr>
            <w:r>
              <w:rPr>
                <w:color w:val="3C3C3C"/>
                <w:sz w:val="19"/>
              </w:rPr>
              <w:t>Rating Scale (1-5):</w:t>
            </w:r>
          </w:p>
          <w:p>
            <w:pPr>
              <w:spacing w:after="40"/>
            </w:pPr>
            <w:r>
              <w:rPr>
                <w:color w:val="3C3C3C"/>
                <w:sz w:val="19"/>
              </w:rPr>
              <w:t>1 = Unacceptable, 2 = Below Expectations, 3 = Meets Expectations, 4 = Exceeds Expectations, 5 = Outstanding.</w:t>
            </w:r>
          </w:p>
          <w:p>
            <w:pPr>
              <w:spacing w:after="40"/>
            </w:pPr>
            <w:r>
              <w:rPr>
                <w:color w:val="3C3C3C"/>
                <w:sz w:val="19"/>
              </w:rPr>
            </w:r>
          </w:p>
          <w:p>
            <w:pPr>
              <w:spacing w:after="40"/>
            </w:pPr>
            <w:r>
              <w:rPr>
                <w:color w:val="3C3C3C"/>
                <w:sz w:val="19"/>
              </w:rPr>
              <w:t>Output Requirement:</w:t>
            </w:r>
          </w:p>
          <w:p>
            <w:pPr>
              <w:spacing w:after="40"/>
            </w:pPr>
            <w:r>
              <w:rPr>
                <w:color w:val="3C3C3C"/>
                <w:sz w:val="19"/>
              </w:rPr>
              <w:t>Always generate a filled Markdown table showing Category, Weight %, Score (1-5), Weighted Score, and a brief rationale for each score. Conclude with the Final Overall Score calculated as: Weighted Score = Score × Weight %.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color w:val="333333"/>
        </w:rPr>
        <w:t xml:space="preserve">Click </w:t>
      </w:r>
      <w:r>
        <w:rPr>
          <w:b/>
        </w:rPr>
        <w:t>Save</w:t>
      </w:r>
      <w:r>
        <w:t xml:space="preserve"> to activate your custom Gem.</w:t>
      </w:r>
    </w:p>
    <w:p>
      <w:pPr>
        <w:spacing w:before="240" w:after="80"/>
      </w:pPr>
      <w:r>
        <w:rPr>
          <w:b/>
          <w:color w:val="1B365D"/>
          <w:sz w:val="26"/>
        </w:rPr>
        <w:t>Step 3: Collect Raw Vendor Data</w:t>
      </w:r>
    </w:p>
    <w:p>
      <w:r>
        <w:t>Gather raw data points prior to executing an evaluation query:</w:t>
      </w:r>
    </w:p>
    <w:p>
      <w:pPr>
        <w:pStyle w:val="ListBullet"/>
      </w:pPr>
      <w:r>
        <w:t>ATS (Applicant Tracking System) metrics (submits, interview counts, offers, acceptances).</w:t>
      </w:r>
    </w:p>
    <w:p>
      <w:pPr>
        <w:pStyle w:val="ListBullet"/>
      </w:pPr>
      <w:r>
        <w:t>Time-to-fill and shortlist delivery timestamps.</w:t>
      </w:r>
    </w:p>
    <w:p>
      <w:pPr>
        <w:pStyle w:val="ListBullet"/>
      </w:pPr>
      <w:r>
        <w:t>Contractual terms (Placement fee %, guarantee period length).</w:t>
      </w:r>
    </w:p>
    <w:p>
      <w:pPr>
        <w:pStyle w:val="ListBullet"/>
      </w:pPr>
      <w:r>
        <w:t>Recruiter feedback and communication logs.</w:t>
      </w:r>
    </w:p>
    <w:p>
      <w:pPr>
        <w:spacing w:before="240" w:after="80"/>
      </w:pPr>
      <w:r>
        <w:rPr>
          <w:b/>
          <w:color w:val="1B365D"/>
          <w:sz w:val="26"/>
        </w:rPr>
        <w:t>Step 4: Execute the Evaluation Query</w:t>
      </w:r>
    </w:p>
    <w:p>
      <w:r>
        <w:t>Open your newly created Gem and run an evaluation query with structured vendor details: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b/>
                <w:color w:val="1B365D"/>
                <w:sz w:val="20"/>
              </w:rPr>
              <w:t>User Evaluation Prompt Example</w:t>
              <w:br/>
            </w:r>
          </w:p>
          <w:p>
            <w:pPr>
              <w:spacing w:after="40"/>
            </w:pPr>
            <w:r>
              <w:rPr>
                <w:b/>
                <w:color w:val="1B365D"/>
                <w:sz w:val="19"/>
              </w:rPr>
              <w:t>Example Evaluation Prompt:</w:t>
            </w:r>
          </w:p>
          <w:p>
            <w:pPr>
              <w:spacing w:after="40"/>
            </w:pPr>
            <w:r>
              <w:rPr>
                <w:color w:val="3C3C3C"/>
                <w:sz w:val="19"/>
              </w:rPr>
              <w:t>"Please evaluate TechTalent Partners based on our quarterly data:</w:t>
            </w:r>
          </w:p>
          <w:p>
            <w:pPr>
              <w:spacing w:after="40"/>
            </w:pPr>
            <w:r>
              <w:rPr>
                <w:color w:val="3C3C3C"/>
                <w:sz w:val="19"/>
              </w:rPr>
              <w:t>• Submitted 20 candidates; 8 were interviewed; 3 offers extended; 3 accepted.</w:t>
            </w:r>
          </w:p>
          <w:p>
            <w:pPr>
              <w:spacing w:after="40"/>
            </w:pPr>
            <w:r>
              <w:rPr>
                <w:color w:val="3C3C3C"/>
                <w:sz w:val="19"/>
              </w:rPr>
              <w:t>• Delivered initial shortlist in 4 business days.</w:t>
            </w:r>
          </w:p>
          <w:p>
            <w:pPr>
              <w:spacing w:after="40"/>
            </w:pPr>
            <w:r>
              <w:rPr>
                <w:color w:val="3C3C3C"/>
                <w:sz w:val="19"/>
              </w:rPr>
              <w:t>• Placement fee: 18% with a 90-day replacement guarantee.</w:t>
            </w:r>
          </w:p>
          <w:p>
            <w:pPr>
              <w:spacing w:after="40"/>
            </w:pPr>
            <w:r>
              <w:rPr>
                <w:color w:val="3C3C3C"/>
                <w:sz w:val="19"/>
              </w:rPr>
              <w:t>• Recruiters showed strong understanding of our DevOps role requirements.</w:t>
            </w:r>
          </w:p>
          <w:p>
            <w:pPr>
              <w:spacing w:after="40"/>
            </w:pPr>
            <w:r>
              <w:rPr>
                <w:color w:val="3C3C3C"/>
                <w:sz w:val="19"/>
              </w:rPr>
              <w:t>• Weekly status calls were consistent, but candidate feedback notes were occasionally delayed.</w:t>
            </w:r>
          </w:p>
          <w:p>
            <w:pPr>
              <w:spacing w:after="40"/>
            </w:pPr>
            <w:r>
              <w:rPr>
                <w:color w:val="3C3C3C"/>
                <w:sz w:val="19"/>
              </w:rPr>
            </w:r>
          </w:p>
          <w:p>
            <w:pPr>
              <w:spacing w:after="40"/>
            </w:pPr>
            <w:r>
              <w:rPr>
                <w:color w:val="3C3C3C"/>
                <w:sz w:val="19"/>
              </w:rPr>
              <w:t>Generate the completed scorecard table and provide the final overall rating."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1B365D"/>
          <w:sz w:val="26"/>
        </w:rPr>
        <w:t>Step 5: Review and Export Results</w:t>
      </w:r>
    </w:p>
    <w:p>
      <w:pPr>
        <w:pStyle w:val="ListBullet"/>
      </w:pPr>
      <w:r>
        <w:t>Review Gemini's output for logical consistency and check the math on weighted scores.</w:t>
      </w:r>
    </w:p>
    <w:p>
      <w:pPr>
        <w:pStyle w:val="ListBullet"/>
      </w:pPr>
      <w:r>
        <w:rPr>
          <w:color w:val="333333"/>
        </w:rPr>
        <w:t xml:space="preserve">Click </w:t>
      </w:r>
      <w:r>
        <w:rPr>
          <w:b/>
        </w:rPr>
        <w:t>Export to Docs</w:t>
      </w:r>
      <w:r>
        <w:rPr>
          <w:color w:val="333333"/>
        </w:rPr>
        <w:t xml:space="preserve"> or copy the generated table back into your original Word template (</w:t>
      </w:r>
      <w:r>
        <w:rPr>
          <w:i/>
        </w:rPr>
        <w:t>Customized_Recruitment_Agency_Scorecard.docx</w:t>
      </w:r>
      <w:r>
        <w:t>) for formal vendor record-keeping.</w:t>
      </w:r>
    </w:p>
    <w:p>
      <w:pPr>
        <w:spacing w:before="280" w:after="120"/>
      </w:pPr>
      <w:r>
        <w:rPr>
          <w:b/>
          <w:color w:val="1B365D"/>
          <w:sz w:val="26"/>
        </w:rPr>
        <w:t>Quick Reference: Evaluation Weights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Evaluation Area</w:t>
            </w:r>
          </w:p>
        </w:tc>
        <w:tc>
          <w:tcPr>
            <w:tcW w:type="dxa" w:w="144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Category Weight</w:t>
            </w:r>
          </w:p>
        </w:tc>
        <w:tc>
          <w:tcPr>
            <w:tcW w:type="dxa" w:w="3888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9"/>
              </w:rPr>
              <w:t>Included Sub-Metrics</w:t>
            </w:r>
          </w:p>
        </w:tc>
        <w:tc>
          <w:tcPr>
            <w:tcW w:type="dxa" w:w="115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9"/>
              </w:rPr>
              <w:t>Sub-Weight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  <w:t>1. Quality of Candidates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35%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  <w:t>Interview-to-Offer Ratio</w:t>
              <w:br/>
              <w:t>Offer Acceptance Rate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20%</w:t>
              <w:br/>
              <w:t>15%</w:t>
            </w:r>
          </w:p>
        </w:tc>
      </w:tr>
      <w:tr>
        <w:tc>
          <w:tcPr>
            <w:tcW w:type="dxa" w:w="259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  <w:t>2. Speed &amp; Delivery</w:t>
            </w:r>
          </w:p>
        </w:tc>
        <w:tc>
          <w:tcPr>
            <w:tcW w:type="dxa" w:w="144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25%</w:t>
            </w:r>
          </w:p>
        </w:tc>
        <w:tc>
          <w:tcPr>
            <w:tcW w:type="dxa" w:w="388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  <w:t>Time-to-First Shortlist</w:t>
              <w:br/>
              <w:t>Average Time-to-Fill</w:t>
            </w:r>
          </w:p>
        </w:tc>
        <w:tc>
          <w:tcPr>
            <w:tcW w:type="dxa" w:w="115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15%</w:t>
              <w:br/>
              <w:t>10%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  <w:t>3. Cost &amp; Commercial Terms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20%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  <w:t>Placement Fee Structure</w:t>
              <w:br/>
              <w:t>Replacement Guarantee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15%</w:t>
              <w:br/>
              <w:t>5%</w:t>
            </w:r>
          </w:p>
        </w:tc>
      </w:tr>
      <w:tr>
        <w:tc>
          <w:tcPr>
            <w:tcW w:type="dxa" w:w="259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  <w:t>4. Market Expertise &amp; Sourcing</w:t>
            </w:r>
          </w:p>
        </w:tc>
        <w:tc>
          <w:tcPr>
            <w:tcW w:type="dxa" w:w="144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10%</w:t>
            </w:r>
          </w:p>
        </w:tc>
        <w:tc>
          <w:tcPr>
            <w:tcW w:type="dxa" w:w="388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  <w:t>Niche / Technical Knowledge</w:t>
            </w:r>
          </w:p>
        </w:tc>
        <w:tc>
          <w:tcPr>
            <w:tcW w:type="dxa" w:w="115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10%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  <w:t>5. Communication &amp; Brand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10%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sz w:val="18"/>
              </w:rPr>
              <w:t>SLA Compliance &amp; Reporting</w:t>
              <w:br/>
              <w:t>Employer Brand Protection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sz w:val="18"/>
              </w:rPr>
              <w:t>5%</w:t>
              <w:br/>
              <w:t>5%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Arial" w:hAnsi="Arial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