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F3864" w:val="clear"/>
            <w:tcMar>
              <w:top w:type="dxa" w:w="260"/>
              <w:left w:type="dxa" w:w="260"/>
              <w:bottom w:type="dxa" w:w="220"/>
              <w:right w:type="dxa" w:w="260"/>
            </w:tcMar>
          </w:tcPr>
          <w:p>
            <w:r>
              <w:rPr>
                <w:rFonts w:ascii="Calibri" w:cs="Calibri" w:eastAsia="Calibri" w:hAnsi="Calibri"/>
                <w:b/>
                <w:bCs/>
                <w:color w:val="FFFFFF"/>
                <w:sz w:val="40"/>
                <w:szCs w:val="40"/>
              </w:rPr>
              <w:t xml:space="preserve">AI FOR PRODUCTION PLANNING</w:t>
            </w:r>
          </w:p>
          <w:p>
            <w:pPr>
              <w:spacing w:before="80"/>
            </w:pPr>
            <w:r>
              <w:rPr>
                <w:rFonts w:ascii="Calibri" w:cs="Calibri" w:eastAsia="Calibri" w:hAnsi="Calibri"/>
                <w:b/>
                <w:bCs/>
                <w:color w:val="C9A227"/>
                <w:sz w:val="28"/>
                <w:szCs w:val="28"/>
              </w:rPr>
              <w:t xml:space="preserve">Case Study 2 — Raw Material Inventory Optimisation</w:t>
            </w:r>
          </w:p>
          <w:p>
            <w:pPr>
              <w:spacing w:before="120"/>
            </w:pPr>
            <w:r>
              <w:rPr>
                <w:rFonts w:ascii="Calibri" w:cs="Calibri" w:eastAsia="Calibri" w:hAnsi="Calibri"/>
                <w:color w:val="E6E6E6"/>
                <w:sz w:val="20"/>
                <w:szCs w:val="20"/>
              </w:rPr>
              <w:t xml:space="preserve">ChromaTech Inks Pvt Ltd (fictional) — same mixing line as Case Study 1. This time the question is not “when do we run each batch” but “will the pigments and resins even be there when we need them.”</w:t>
            </w:r>
          </w:p>
        </w:tc>
      </w:tr>
    </w:tbl>
    <w:p>
      <w:pPr>
        <w:spacing w:after="120" w:line="276"/>
      </w:pPr>
      <w:r>
        <w:rPr>
          <w:rFonts w:ascii="Calibri" w:cs="Calibri" w:eastAsia="Calibri" w:hAnsi="Calibri"/>
          <w:sz w:val="21"/>
          <w:szCs w:val="21"/>
        </w:rPr>
        <w:t xml:space="preserve"/>
      </w:r>
    </w:p>
    <w:tbl>
      <w:tblPr>
        <w:tblW w:type="pct" w:w="100%"/>
        <w:tblBorders>
          <w:top w:val="single" w:color="C9A227" w:sz="4"/>
          <w:left w:val="single" w:color="C9A227" w:sz="4"/>
          <w:bottom w:val="single" w:color="C9A227" w:sz="4"/>
          <w:right w:val="single" w:color="C9A227" w:sz="4"/>
          <w:insideH w:val="single" w:color="auto" w:sz="4"/>
          <w:insideV w:val="single" w:color="auto" w:sz="4"/>
        </w:tblBorders>
      </w:tblPr>
      <w:tblGrid>
        <w:gridCol w:w="100"/>
      </w:tblGrid>
      <w:tr>
        <w:tc>
          <w:tcPr>
            <w:shd w:fill="FBF3D9" w:val="clear"/>
            <w:tcMar>
              <w:top w:type="dxa" w:w="120"/>
              <w:left w:type="dxa" w:w="160"/>
              <w:bottom w:type="dxa" w:w="120"/>
              <w:right w:type="dxa" w:w="160"/>
            </w:tcMar>
          </w:tcPr>
          <w:p>
            <w:pPr>
              <w:spacing w:after="60"/>
            </w:pPr>
            <w:r>
              <w:rPr>
                <w:rFonts w:ascii="Calibri" w:cs="Calibri" w:eastAsia="Calibri" w:hAnsi="Calibri"/>
                <w:b/>
                <w:bCs/>
                <w:color w:val="1F3864"/>
                <w:sz w:val="21"/>
                <w:szCs w:val="21"/>
              </w:rPr>
              <w:t xml:space="preserve">Companion file</w:t>
            </w:r>
          </w:p>
          <w:p>
            <w:r>
              <w:rPr>
                <w:rFonts w:ascii="Calibri" w:cs="Calibri" w:eastAsia="Calibri" w:hAnsi="Calibri"/>
                <w:sz w:val="20"/>
                <w:szCs w:val="20"/>
              </w:rPr>
              <w:t xml:space="preserve">This case study is paired with ChromaTech_Inventory_Practice_File.xlsx — Raw_Material_Data, ABC_Classification, Manual_Policy, AI_Naive_Policy, Agent_Policy and Summary tabs. Every number in this document is pulled directly from that workbook.</w:t>
            </w:r>
          </w:p>
        </w:tc>
      </w:tr>
    </w:tbl>
    <w:p>
      <w:pPr>
        <w:pStyle w:val="Heading1"/>
        <w:pBdr>
          <w:bottom w:val="single" w:color="C9A227" w:sz="12" w:space="4"/>
        </w:pBdr>
        <w:spacing w:after="140" w:before="320"/>
      </w:pPr>
      <w:r>
        <w:rPr>
          <w:rFonts w:ascii="Calibri" w:cs="Calibri" w:eastAsia="Calibri" w:hAnsi="Calibri"/>
          <w:b/>
          <w:bCs/>
          <w:color w:val="1F3864"/>
          <w:sz w:val="30"/>
          <w:szCs w:val="30"/>
        </w:rPr>
        <w:t xml:space="preserve">1. Business Context</w:t>
      </w:r>
    </w:p>
    <w:p>
      <w:pPr>
        <w:spacing w:after="120" w:line="276"/>
      </w:pPr>
      <w:r>
        <w:rPr>
          <w:rFonts w:ascii="Calibri" w:cs="Calibri" w:eastAsia="Calibri" w:hAnsi="Calibri"/>
          <w:sz w:val="21"/>
          <w:szCs w:val="21"/>
        </w:rPr>
        <w:t xml:space="preserve">ChromaTech's mixing line (Case Study 1) runs on 12 raw materials: four pigments, three resins, two solvents and two additives, sourced from a mix of domestic and imported suppliers. Lead times range from 7 days for a locally-stocked solvent to 30 days for imported aluminium paste used in metallic inks.</w:t>
      </w:r>
    </w:p>
    <w:p>
      <w:pPr>
        <w:spacing w:after="120" w:line="276"/>
      </w:pPr>
      <w:r>
        <w:rPr>
          <w:rFonts w:ascii="Calibri" w:cs="Calibri" w:eastAsia="Calibri" w:hAnsi="Calibri"/>
          <w:sz w:val="21"/>
          <w:szCs w:val="21"/>
        </w:rPr>
        <w:t xml:space="preserve">A stock-out on a fast-moving solvent is a nuisance — a local supplier can usually expedite. A stock-out on the aluminium paste or the primary blue pigment stalls every Metallic or Medium/Dark order on the books, including the Rush orders from Case Study 1's order book.</w:t>
      </w:r>
    </w:p>
    <w:p>
      <w:pPr>
        <w:pStyle w:val="Heading1"/>
        <w:pBdr>
          <w:bottom w:val="single" w:color="C9A227" w:sz="12" w:space="4"/>
        </w:pBdr>
        <w:spacing w:after="140" w:before="320"/>
      </w:pPr>
      <w:r>
        <w:rPr>
          <w:rFonts w:ascii="Calibri" w:cs="Calibri" w:eastAsia="Calibri" w:hAnsi="Calibri"/>
          <w:b/>
          <w:bCs/>
          <w:color w:val="1F3864"/>
          <w:sz w:val="30"/>
          <w:szCs w:val="30"/>
        </w:rPr>
        <w:t xml:space="preserve">2. The Problem</w:t>
      </w:r>
    </w:p>
    <w:p>
      <w:pPr>
        <w:spacing w:after="120" w:line="276"/>
      </w:pPr>
      <w:r>
        <w:rPr>
          <w:rFonts w:ascii="Calibri" w:cs="Calibri" w:eastAsia="Calibri" w:hAnsi="Calibri"/>
          <w:sz w:val="21"/>
          <w:szCs w:val="21"/>
        </w:rPr>
        <w:t xml:space="preserve">Purchasing reorders every material on one rule: reorder when stock drops below 14 days of average usage. It is simple and was easy to roll out, but it takes no account of how much daily usage or supplier lead time actually varies from item to item — or of how expensive a stock-out on a particular item would be.</w:t>
      </w:r>
    </w:p>
    <w:p>
      <w:pPr>
        <w:pStyle w:val="ListParagraph"/>
        <w:numPr>
          <w:ilvl w:val="0"/>
          <w:numId w:val="1"/>
        </w:numPr>
        <w:spacing w:after="60"/>
      </w:pPr>
      <w:r>
        <w:rPr>
          <w:rFonts w:ascii="Calibri" w:cs="Calibri" w:eastAsia="Calibri" w:hAnsi="Calibri"/>
          <w:sz w:val="21"/>
          <w:szCs w:val="21"/>
        </w:rPr>
        <w:t xml:space="preserve">12 raw materials, each with its own usage pattern, lead time and lead-time reliability (documented in Raw_Material_Data).</w:t>
      </w:r>
    </w:p>
    <w:p>
      <w:pPr>
        <w:pStyle w:val="ListParagraph"/>
        <w:numPr>
          <w:ilvl w:val="0"/>
          <w:numId w:val="1"/>
        </w:numPr>
        <w:spacing w:after="60"/>
      </w:pPr>
      <w:r>
        <w:rPr>
          <w:rFonts w:ascii="Calibri" w:cs="Calibri" w:eastAsia="Calibri" w:hAnsi="Calibri"/>
          <w:sz w:val="21"/>
          <w:szCs w:val="21"/>
        </w:rPr>
        <w:t xml:space="preserve">Lead times: 7–30 days. Lead-time std. deviation: 1–7 days — this variability, not the average, is what actually drives risk.</w:t>
      </w:r>
    </w:p>
    <w:p>
      <w:pPr>
        <w:pStyle w:val="ListParagraph"/>
        <w:numPr>
          <w:ilvl w:val="0"/>
          <w:numId w:val="1"/>
        </w:numPr>
        <w:spacing w:after="60"/>
      </w:pPr>
      <w:r>
        <w:rPr>
          <w:rFonts w:ascii="Calibri" w:cs="Calibri" w:eastAsia="Calibri" w:hAnsi="Calibri"/>
          <w:sz w:val="21"/>
          <w:szCs w:val="21"/>
        </w:rPr>
        <w:t xml:space="preserve">Unit costs range from INR 95/kg (solvent) to INR 2,200/kg (blue pigment) — a flat day-count rule treats all of it as equally important.</w:t>
      </w:r>
    </w:p>
    <w:p>
      <w:pPr>
        <w:pStyle w:val="Heading1"/>
        <w:pBdr>
          <w:bottom w:val="single" w:color="C9A227" w:sz="12" w:space="4"/>
        </w:pBdr>
        <w:spacing w:after="140" w:before="320"/>
      </w:pPr>
      <w:r>
        <w:rPr>
          <w:rFonts w:ascii="Calibri" w:cs="Calibri" w:eastAsia="Calibri" w:hAnsi="Calibri"/>
          <w:b/>
          <w:bCs/>
          <w:color w:val="1F3864"/>
          <w:sz w:val="30"/>
          <w:szCs w:val="30"/>
        </w:rPr>
        <w:t xml:space="preserve">3. The Data (practice file)</w:t>
      </w:r>
    </w:p>
    <w:p>
      <w:pPr>
        <w:pStyle w:val="ListParagraph"/>
        <w:numPr>
          <w:ilvl w:val="0"/>
          <w:numId w:val="1"/>
        </w:numPr>
        <w:spacing w:after="60"/>
      </w:pPr>
      <w:r>
        <w:rPr>
          <w:rFonts w:ascii="Calibri" w:cs="Calibri" w:eastAsia="Calibri" w:hAnsi="Calibri"/>
          <w:sz w:val="21"/>
          <w:szCs w:val="21"/>
        </w:rPr>
        <w:t xml:space="preserve">Raw_Material_Data — the 12-item input: usage, lead time, cost, current stock, MOQ.</w:t>
      </w:r>
    </w:p>
    <w:p>
      <w:pPr>
        <w:pStyle w:val="ListParagraph"/>
        <w:numPr>
          <w:ilvl w:val="0"/>
          <w:numId w:val="1"/>
        </w:numPr>
        <w:spacing w:after="60"/>
      </w:pPr>
      <w:r>
        <w:rPr>
          <w:rFonts w:ascii="Calibri" w:cs="Calibri" w:eastAsia="Calibri" w:hAnsi="Calibri"/>
          <w:sz w:val="21"/>
          <w:szCs w:val="21"/>
        </w:rPr>
        <w:t xml:space="preserve">ABC_Classification — every item ranked by annual consumption value (usage × 365 × cost) into A/B/C tiers, using the standard 70/90/100% cumulative-value cut.</w:t>
      </w:r>
    </w:p>
    <w:p>
      <w:pPr>
        <w:pStyle w:val="ListParagraph"/>
        <w:numPr>
          <w:ilvl w:val="0"/>
          <w:numId w:val="1"/>
        </w:numPr>
        <w:spacing w:after="60"/>
      </w:pPr>
      <w:r>
        <w:rPr>
          <w:rFonts w:ascii="Calibri" w:cs="Calibri" w:eastAsia="Calibri" w:hAnsi="Calibri"/>
          <w:sz w:val="21"/>
          <w:szCs w:val="21"/>
        </w:rPr>
        <w:t xml:space="preserve">Manual_Policy, AI_Naive_Policy, Agent_Policy — the same 12 items, three different reorder-point calculations, each with a formula-driven Reorder Now / OK status.</w:t>
      </w:r>
    </w:p>
    <w:p>
      <w:pPr>
        <w:pStyle w:val="ListParagraph"/>
        <w:numPr>
          <w:ilvl w:val="0"/>
          <w:numId w:val="1"/>
        </w:numPr>
        <w:spacing w:after="60"/>
      </w:pPr>
      <w:r>
        <w:rPr>
          <w:rFonts w:ascii="Calibri" w:cs="Calibri" w:eastAsia="Calibri" w:hAnsi="Calibri"/>
          <w:sz w:val="21"/>
          <w:szCs w:val="21"/>
        </w:rPr>
        <w:t xml:space="preserve">Summary — the three policies side by side, with a chart.</w:t>
      </w:r>
    </w:p>
    <w:p>
      <w:pPr>
        <w:pStyle w:val="Heading1"/>
        <w:pBdr>
          <w:bottom w:val="single" w:color="C9A227" w:sz="12" w:space="4"/>
        </w:pBdr>
        <w:spacing w:after="140" w:before="320"/>
      </w:pPr>
      <w:r>
        <w:rPr>
          <w:rFonts w:ascii="Calibri" w:cs="Calibri" w:eastAsia="Calibri" w:hAnsi="Calibri"/>
          <w:b/>
          <w:bCs/>
          <w:color w:val="1F3864"/>
          <w:sz w:val="30"/>
          <w:szCs w:val="30"/>
        </w:rPr>
        <w:t xml:space="preserve">4. Approach 1 — Manual Policy (the baseline)</w:t>
      </w:r>
    </w:p>
    <w:p>
      <w:pPr>
        <w:spacing w:after="120" w:line="276"/>
      </w:pPr>
      <w:r>
        <w:rPr>
          <w:rFonts w:ascii="Calibri" w:cs="Calibri" w:eastAsia="Calibri" w:hAnsi="Calibri"/>
          <w:b/>
          <w:bCs/>
          <w:sz w:val="21"/>
          <w:szCs w:val="21"/>
        </w:rPr>
        <w:t xml:space="preserve">Reorder point = 14 days × average daily usage, for every item, no matter how volatile its demand or lead time. It flags 2 of 12 items: Ethyl Acetate Solvent and IPA Solvent.</w:t>
      </w:r>
    </w:p>
    <w:p>
      <w:pPr>
        <w:spacing w:after="120" w:line="276"/>
      </w:pPr>
      <w:r>
        <w:rPr>
          <w:rFonts w:ascii="Calibri" w:cs="Calibri" w:eastAsia="Calibri" w:hAnsi="Calibri"/>
          <w:sz w:val="21"/>
          <w:szCs w:val="21"/>
        </w:rPr>
        <w:t xml:space="preserve">Check AI_Naive_Policy and Agent_Policy for the same two items: both are OK there. The flat rule is over-cautious on these two specifically because they have short, reliable lead times (7–9 days, low std. deviation) — they simply don't need 14 days of cover. That's an unnecessary purchase order, tying up working capital for no risk reduction.</w:t>
      </w:r>
    </w:p>
    <w:tbl>
      <w:tblPr>
        <w:tblW w:type="pct" w:w="100%"/>
        <w:tblBorders>
          <w:top w:val="single" w:color="C9A227" w:sz="4"/>
          <w:left w:val="single" w:color="C9A227" w:sz="4"/>
          <w:bottom w:val="single" w:color="C9A227" w:sz="4"/>
          <w:right w:val="single" w:color="C9A227" w:sz="4"/>
          <w:insideH w:val="single" w:color="auto" w:sz="4"/>
          <w:insideV w:val="single" w:color="auto" w:sz="4"/>
        </w:tblBorders>
      </w:tblPr>
      <w:tblGrid>
        <w:gridCol w:w="100"/>
      </w:tblGrid>
      <w:tr>
        <w:tc>
          <w:tcPr>
            <w:shd w:fill="FBF3D9" w:val="clear"/>
            <w:tcMar>
              <w:top w:type="dxa" w:w="120"/>
              <w:left w:type="dxa" w:w="160"/>
              <w:bottom w:type="dxa" w:w="120"/>
              <w:right w:type="dxa" w:w="160"/>
            </w:tcMar>
          </w:tcPr>
          <w:p>
            <w:pPr>
              <w:spacing w:after="60"/>
            </w:pPr>
            <w:r>
              <w:rPr>
                <w:rFonts w:ascii="Calibri" w:cs="Calibri" w:eastAsia="Calibri" w:hAnsi="Calibri"/>
                <w:b/>
                <w:bCs/>
                <w:color w:val="1F3864"/>
                <w:sz w:val="21"/>
                <w:szCs w:val="21"/>
              </w:rPr>
              <w:t xml:space="preserve">The bigger problem</w:t>
            </w:r>
          </w:p>
          <w:p>
            <w:r>
              <w:rPr>
                <w:rFonts w:ascii="Calibri" w:cs="Calibri" w:eastAsia="Calibri" w:hAnsi="Calibri"/>
                <w:sz w:val="20"/>
                <w:szCs w:val="20"/>
              </w:rPr>
              <w:t xml:space="preserve">The flat rule completely misses real risk on RM-01 (Phthalocyanine Blue, 21-day lead time) and RM-11 (Aluminium Paste, 30-day lead time). Both show “OK” under Manual_Policy because their average daily usage is modest — 14 days of cover looks comfortable on paper — but their lead-time variability is high enough that a real shortfall is a live risk. A day-count rule has no way to see that.</w:t>
            </w:r>
          </w:p>
        </w:tc>
      </w:tr>
    </w:tbl>
    <w:p>
      <w:pPr>
        <w:pStyle w:val="Heading1"/>
        <w:pBdr>
          <w:bottom w:val="single" w:color="C9A227" w:sz="12" w:space="4"/>
        </w:pBdr>
        <w:spacing w:after="140" w:before="320"/>
      </w:pPr>
      <w:r>
        <w:rPr>
          <w:rFonts w:ascii="Calibri" w:cs="Calibri" w:eastAsia="Calibri" w:hAnsi="Calibri"/>
          <w:b/>
          <w:bCs/>
          <w:color w:val="1F3864"/>
          <w:sz w:val="30"/>
          <w:szCs w:val="30"/>
        </w:rPr>
        <w:t xml:space="preserve">5. Approach 2 — AI-Naive Policy (uniform statistical model)</w:t>
      </w:r>
    </w:p>
    <w:p>
      <w:pPr>
        <w:spacing w:after="120" w:line="276"/>
      </w:pPr>
      <w:r>
        <w:rPr>
          <w:rFonts w:ascii="Calibri" w:cs="Calibri" w:eastAsia="Calibri" w:hAnsi="Calibri"/>
          <w:sz w:val="21"/>
          <w:szCs w:val="21"/>
        </w:rPr>
        <w:t xml:space="preserve">Safety stock is calculated from actual demand and lead-time variability — Safety Stock = Z × √(Lead Time × Daily-usage-variance + Avg-usage² × Lead-time-variance) — at a single 95% service level for every item. This catches both risks the flat rule missed: RM-01 and RM-11 are now correctly flagged Reorder Now.</w:t>
      </w:r>
    </w:p>
    <w:p>
      <w:pPr>
        <w:spacing w:after="120" w:line="276"/>
      </w:pPr>
      <w:r>
        <w:rPr>
          <w:rFonts w:ascii="Calibri" w:cs="Calibri" w:eastAsia="Calibri" w:hAnsi="Calibri"/>
          <w:b/>
          <w:bCs/>
          <w:sz w:val="21"/>
          <w:szCs w:val="21"/>
        </w:rPr>
        <w:t xml:space="preserve">But the model still treats a INR 2,200/kg imported pigment the same as a INR 150/kg domestic one. Two more genuine risks — RM-04 (Rosin Modified Resin) and RM-12 (Yellow/Red Organic Pigment), both Class-A by value — sit just above their naive reorder point and show “OK,” when a business that actually depends on them would want a tighter margin.</w:t>
      </w:r>
    </w:p>
    <w:p>
      <w:pPr>
        <w:pStyle w:val="Heading1"/>
        <w:pBdr>
          <w:bottom w:val="single" w:color="C9A227" w:sz="12" w:space="4"/>
        </w:pBdr>
        <w:spacing w:after="140" w:before="320"/>
      </w:pPr>
      <w:r>
        <w:rPr>
          <w:rFonts w:ascii="Calibri" w:cs="Calibri" w:eastAsia="Calibri" w:hAnsi="Calibri"/>
          <w:b/>
          <w:bCs/>
          <w:color w:val="1F3864"/>
          <w:sz w:val="30"/>
          <w:szCs w:val="30"/>
        </w:rPr>
        <w:t xml:space="preserve">6. Approach 3 — The Agent Approach</w:t>
      </w:r>
    </w:p>
    <w:p>
      <w:pPr>
        <w:spacing w:after="120" w:line="276"/>
      </w:pPr>
      <w:r>
        <w:rPr>
          <w:rFonts w:ascii="Calibri" w:cs="Calibri" w:eastAsia="Calibri" w:hAnsi="Calibri"/>
          <w:sz w:val="21"/>
          <w:szCs w:val="21"/>
        </w:rPr>
        <w:t xml:space="preserve">An agent adds two things a pure statistical model doesn't have on its own: a business rule for how much protection each item deserves, and the next action to take once a risk is confirmed.</w:t>
      </w:r>
    </w:p>
    <w:p>
      <w:pPr>
        <w:pStyle w:val="Heading2"/>
        <w:spacing w:after="100" w:before="240"/>
      </w:pPr>
      <w:r>
        <w:rPr>
          <w:rFonts w:ascii="Calibri" w:cs="Calibri" w:eastAsia="Calibri" w:hAnsi="Calibri"/>
          <w:b/>
          <w:bCs/>
          <w:color w:val="1F3864"/>
          <w:sz w:val="24"/>
          <w:szCs w:val="24"/>
        </w:rPr>
        <w:t xml:space="preserve">6.1 What changes vs. Approach 2</w:t>
      </w:r>
    </w:p>
    <w:p>
      <w:pPr>
        <w:spacing w:after="120" w:line="276"/>
      </w:pPr>
      <w:r>
        <w:rPr>
          <w:rFonts w:ascii="Calibri" w:cs="Calibri" w:eastAsia="Calibri" w:hAnsi="Calibri"/>
          <w:sz w:val="21"/>
          <w:szCs w:val="21"/>
        </w:rPr>
        <w:t xml:space="preserve">Agent_Policy uses the same safety-stock formula, but the service level is set by each item's ABC tier from ABC_Classification: 99% for Class A, 95% for Class B, 90% for Class C. That single change catches RM-04 and RM-12 — both Class-A — that the uniform model missed, taking real risks caught from 2 to 4 out of 4.</w:t>
      </w:r>
    </w:p>
    <w:p>
      <w:pPr>
        <w:spacing w:after="120" w:line="276"/>
      </w:pPr>
      <w:r>
        <w:rPr>
          <w:rFonts w:ascii="Calibri" w:cs="Calibri" w:eastAsia="Calibri" w:hAnsi="Calibri"/>
          <w:sz w:val="21"/>
          <w:szCs w:val="21"/>
        </w:rPr>
        <w:t xml:space="preserve">For every flagged item, Agent_Policy also calculates an EOQ, rounds it up to the supplier's MOQ, and prices the resulting purchase order — turning “this is a risk” into “here is the PO to raise.”</w:t>
      </w:r>
    </w:p>
    <w:p>
      <w:pPr>
        <w:pStyle w:val="Heading2"/>
        <w:spacing w:after="100" w:before="240"/>
      </w:pPr>
      <w:r>
        <w:rPr>
          <w:rFonts w:ascii="Calibri" w:cs="Calibri" w:eastAsia="Calibri" w:hAnsi="Calibri"/>
          <w:b/>
          <w:bCs/>
          <w:color w:val="1F3864"/>
          <w:sz w:val="24"/>
          <w:szCs w:val="24"/>
        </w:rPr>
        <w:t xml:space="preserve">6.2 Agent architecture</w:t>
      </w:r>
    </w:p>
    <w:p>
      <w:pPr>
        <w:pStyle w:val="ListParagraph"/>
        <w:numPr>
          <w:ilvl w:val="0"/>
          <w:numId w:val="1"/>
        </w:numPr>
        <w:spacing w:after="60"/>
      </w:pPr>
      <w:r>
        <w:rPr>
          <w:rFonts w:ascii="Calibri" w:cs="Calibri" w:eastAsia="Calibri" w:hAnsi="Calibri"/>
          <w:sz w:val="21"/>
          <w:szCs w:val="21"/>
        </w:rPr>
        <w:t xml:space="preserve">Trigger — daily stock refresh from the ERP/WMS, or a planner request tied to a new confirmed order (e.g. before accepting a Rush order that needs RM-01 or RM-11).</w:t>
      </w:r>
    </w:p>
    <w:p>
      <w:pPr>
        <w:pStyle w:val="ListParagraph"/>
        <w:numPr>
          <w:ilvl w:val="0"/>
          <w:numId w:val="1"/>
        </w:numPr>
        <w:spacing w:after="60"/>
      </w:pPr>
      <w:r>
        <w:rPr>
          <w:rFonts w:ascii="Calibri" w:cs="Calibri" w:eastAsia="Calibri" w:hAnsi="Calibri"/>
          <w:sz w:val="21"/>
          <w:szCs w:val="21"/>
        </w:rPr>
        <w:t xml:space="preserve">Tool 1 — get_abc_class(material_id) — looks up ABC_Classification.</w:t>
      </w:r>
    </w:p>
    <w:p>
      <w:pPr>
        <w:pStyle w:val="ListParagraph"/>
        <w:numPr>
          <w:ilvl w:val="0"/>
          <w:numId w:val="1"/>
        </w:numPr>
        <w:spacing w:after="60"/>
      </w:pPr>
      <w:r>
        <w:rPr>
          <w:rFonts w:ascii="Calibri" w:cs="Calibri" w:eastAsia="Calibri" w:hAnsi="Calibri"/>
          <w:sz w:val="21"/>
          <w:szCs w:val="21"/>
        </w:rPr>
        <w:t xml:space="preserve">Tool 2 — calc_safety_stock(material_id, service_level) — runs the statistical formula.</w:t>
      </w:r>
    </w:p>
    <w:p>
      <w:pPr>
        <w:pStyle w:val="ListParagraph"/>
        <w:numPr>
          <w:ilvl w:val="0"/>
          <w:numId w:val="1"/>
        </w:numPr>
        <w:spacing w:after="60"/>
      </w:pPr>
      <w:r>
        <w:rPr>
          <w:rFonts w:ascii="Calibri" w:cs="Calibri" w:eastAsia="Calibri" w:hAnsi="Calibri"/>
          <w:sz w:val="21"/>
          <w:szCs w:val="21"/>
        </w:rPr>
        <w:t xml:space="preserve">Tool 3 — propose_purchase_order(material_id) — sizes the order at MAX(EOQ, MOQ), rounded to a clean MOQ multiple, and prices it.</w:t>
      </w:r>
    </w:p>
    <w:p>
      <w:pPr>
        <w:pStyle w:val="ListParagraph"/>
        <w:numPr>
          <w:ilvl w:val="0"/>
          <w:numId w:val="1"/>
        </w:numPr>
        <w:spacing w:after="60"/>
      </w:pPr>
      <w:r>
        <w:rPr>
          <w:rFonts w:ascii="Calibri" w:cs="Calibri" w:eastAsia="Calibri" w:hAnsi="Calibri"/>
          <w:sz w:val="21"/>
          <w:szCs w:val="21"/>
        </w:rPr>
        <w:t xml:space="preserve">Escalation rule — any Class-A item flagged Reorder Now, or any item whose stock would run out before its lead time elapses, is sent to the planner as high priority; Class-B/C flags can batch into the weekly PO run.</w:t>
      </w:r>
    </w:p>
    <w:p>
      <w:pPr>
        <w:spacing w:after="120" w:line="276"/>
      </w:pPr>
      <w:r>
        <w:rPr>
          <w:rFonts w:ascii="Calibri" w:cs="Calibri" w:eastAsia="Calibri" w:hAnsi="Calibri"/>
          <w:sz w:val="21"/>
          <w:szCs w:val="21"/>
        </w:rPr>
        <w:t xml:space="preserve">Sample system instructions for a Copilot Studio or Claude-based inventory agent:</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1B1B1B" w:val="clear"/>
            <w:tcMar>
              <w:top w:type="dxa" w:w="120"/>
              <w:left w:type="dxa" w:w="160"/>
              <w:bottom w:type="dxa" w:w="120"/>
              <w:right w:type="dxa" w:w="160"/>
            </w:tcMar>
          </w:tcPr>
          <w:p>
            <w:pPr>
              <w:spacing w:after="20"/>
            </w:pPr>
            <w:r>
              <w:rPr>
                <w:rFonts w:ascii="Consolas" w:cs="Consolas" w:eastAsia="Consolas" w:hAnsi="Consolas"/>
                <w:color w:val="D8E8D8"/>
                <w:sz w:val="18"/>
                <w:szCs w:val="18"/>
              </w:rPr>
              <w:t xml:space="preserve">You are the Raw Material Planning Agent for ChromaTech Inks.</w:t>
            </w:r>
          </w:p>
          <w:p>
            <w:pPr>
              <w:spacing w:after="20"/>
            </w:pPr>
            <w:r>
              <w:rPr>
                <w:rFonts w:ascii="Consolas" w:cs="Consolas" w:eastAsia="Consolas" w:hAnsi="Consolas"/>
                <w:color w:val="D8E8D8"/>
                <w:sz w:val="18"/>
                <w:szCs w:val="18"/>
              </w:rPr>
              <w:t xml:space="preserve"/>
            </w:r>
          </w:p>
          <w:p>
            <w:pPr>
              <w:spacing w:after="20"/>
            </w:pPr>
            <w:r>
              <w:rPr>
                <w:rFonts w:ascii="Consolas" w:cs="Consolas" w:eastAsia="Consolas" w:hAnsi="Consolas"/>
                <w:color w:val="D8E8D8"/>
                <w:sz w:val="18"/>
                <w:szCs w:val="18"/>
              </w:rPr>
              <w:t xml:space="preserve">GOAL: monitor Current Stock against a risk-adjusted reorder point for each</w:t>
            </w:r>
          </w:p>
          <w:p>
            <w:pPr>
              <w:spacing w:after="20"/>
            </w:pPr>
            <w:r>
              <w:rPr>
                <w:rFonts w:ascii="Consolas" w:cs="Consolas" w:eastAsia="Consolas" w:hAnsi="Consolas"/>
                <w:color w:val="D8E8D8"/>
                <w:sz w:val="18"/>
                <w:szCs w:val="18"/>
              </w:rPr>
              <w:t xml:space="preserve">material, and propose purchase orders using calc_safety_stock and</w:t>
            </w:r>
          </w:p>
          <w:p>
            <w:pPr>
              <w:spacing w:after="20"/>
            </w:pPr>
            <w:r>
              <w:rPr>
                <w:rFonts w:ascii="Consolas" w:cs="Consolas" w:eastAsia="Consolas" w:hAnsi="Consolas"/>
                <w:color w:val="D8E8D8"/>
                <w:sz w:val="18"/>
                <w:szCs w:val="18"/>
              </w:rPr>
              <w:t xml:space="preserve">propose_purchase_order.</w:t>
            </w:r>
          </w:p>
          <w:p>
            <w:pPr>
              <w:spacing w:after="20"/>
            </w:pPr>
            <w:r>
              <w:rPr>
                <w:rFonts w:ascii="Consolas" w:cs="Consolas" w:eastAsia="Consolas" w:hAnsi="Consolas"/>
                <w:color w:val="D8E8D8"/>
                <w:sz w:val="18"/>
                <w:szCs w:val="18"/>
              </w:rPr>
              <w:t xml:space="preserve"/>
            </w:r>
          </w:p>
          <w:p>
            <w:pPr>
              <w:spacing w:after="20"/>
            </w:pPr>
            <w:r>
              <w:rPr>
                <w:rFonts w:ascii="Consolas" w:cs="Consolas" w:eastAsia="Consolas" w:hAnsi="Consolas"/>
                <w:color w:val="D8E8D8"/>
                <w:sz w:val="18"/>
                <w:szCs w:val="18"/>
              </w:rPr>
              <w:t xml:space="preserve">SERVICE LEVEL RULES (never apply a flat rule to every item):</w:t>
            </w:r>
          </w:p>
          <w:p>
            <w:pPr>
              <w:spacing w:after="20"/>
            </w:pPr>
            <w:r>
              <w:rPr>
                <w:rFonts w:ascii="Consolas" w:cs="Consolas" w:eastAsia="Consolas" w:hAnsi="Consolas"/>
                <w:color w:val="D8E8D8"/>
                <w:sz w:val="18"/>
                <w:szCs w:val="18"/>
              </w:rPr>
              <w:t xml:space="preserve">1. Class A materials (by ABC_Classification): 99% service level.</w:t>
            </w:r>
          </w:p>
          <w:p>
            <w:pPr>
              <w:spacing w:after="20"/>
            </w:pPr>
            <w:r>
              <w:rPr>
                <w:rFonts w:ascii="Consolas" w:cs="Consolas" w:eastAsia="Consolas" w:hAnsi="Consolas"/>
                <w:color w:val="D8E8D8"/>
                <w:sz w:val="18"/>
                <w:szCs w:val="18"/>
              </w:rPr>
              <w:t xml:space="preserve">2. Class B materials: 95% service level.</w:t>
            </w:r>
          </w:p>
          <w:p>
            <w:pPr>
              <w:spacing w:after="20"/>
            </w:pPr>
            <w:r>
              <w:rPr>
                <w:rFonts w:ascii="Consolas" w:cs="Consolas" w:eastAsia="Consolas" w:hAnsi="Consolas"/>
                <w:color w:val="D8E8D8"/>
                <w:sz w:val="18"/>
                <w:szCs w:val="18"/>
              </w:rPr>
              <w:t xml:space="preserve">3. Class C materials: 90% service level.</w:t>
            </w:r>
          </w:p>
          <w:p>
            <w:pPr>
              <w:spacing w:after="20"/>
            </w:pPr>
            <w:r>
              <w:rPr>
                <w:rFonts w:ascii="Consolas" w:cs="Consolas" w:eastAsia="Consolas" w:hAnsi="Consolas"/>
                <w:color w:val="D8E8D8"/>
                <w:sz w:val="18"/>
                <w:szCs w:val="18"/>
              </w:rPr>
              <w:t xml:space="preserve"/>
            </w:r>
          </w:p>
          <w:p>
            <w:pPr>
              <w:spacing w:after="20"/>
            </w:pPr>
            <w:r>
              <w:rPr>
                <w:rFonts w:ascii="Consolas" w:cs="Consolas" w:eastAsia="Consolas" w:hAnsi="Consolas"/>
                <w:color w:val="D8E8D8"/>
                <w:sz w:val="18"/>
                <w:szCs w:val="18"/>
              </w:rPr>
              <w:t xml:space="preserve">ESCALATION: if a Class-A item is flagged Reorder Now, notify the planner</w:t>
            </w:r>
          </w:p>
          <w:p>
            <w:pPr>
              <w:spacing w:after="20"/>
            </w:pPr>
            <w:r>
              <w:rPr>
                <w:rFonts w:ascii="Consolas" w:cs="Consolas" w:eastAsia="Consolas" w:hAnsi="Consolas"/>
                <w:color w:val="D8E8D8"/>
                <w:sz w:val="18"/>
                <w:szCs w:val="18"/>
              </w:rPr>
              <w:t xml:space="preserve">immediately with the suggested PO, its value, and which confirmed orders</w:t>
            </w:r>
          </w:p>
          <w:p>
            <w:pPr>
              <w:spacing w:after="20"/>
            </w:pPr>
            <w:r>
              <w:rPr>
                <w:rFonts w:ascii="Consolas" w:cs="Consolas" w:eastAsia="Consolas" w:hAnsi="Consolas"/>
                <w:color w:val="D8E8D8"/>
                <w:sz w:val="18"/>
                <w:szCs w:val="18"/>
              </w:rPr>
              <w:t xml:space="preserve">(if any) depend on it. Class B/C flags can wait for the weekly PO batch.</w:t>
            </w:r>
          </w:p>
          <w:p>
            <w:pPr>
              <w:spacing w:after="20"/>
            </w:pPr>
            <w:r>
              <w:rPr>
                <w:rFonts w:ascii="Consolas" w:cs="Consolas" w:eastAsia="Consolas" w:hAnsi="Consolas"/>
                <w:color w:val="D8E8D8"/>
                <w:sz w:val="18"/>
                <w:szCs w:val="18"/>
              </w:rPr>
              <w:t xml:space="preserve"/>
            </w:r>
          </w:p>
          <w:p>
            <w:pPr>
              <w:spacing w:after="20"/>
            </w:pPr>
            <w:r>
              <w:rPr>
                <w:rFonts w:ascii="Consolas" w:cs="Consolas" w:eastAsia="Consolas" w:hAnsi="Consolas"/>
                <w:color w:val="D8E8D8"/>
                <w:sz w:val="18"/>
                <w:szCs w:val="18"/>
              </w:rPr>
              <w:t xml:space="preserve">OUTPUT: material, current stock, reorder point, suggested order quantity,</w:t>
            </w:r>
          </w:p>
          <w:p>
            <w:pPr>
              <w:spacing w:after="20"/>
            </w:pPr>
            <w:r>
              <w:rPr>
                <w:rFonts w:ascii="Consolas" w:cs="Consolas" w:eastAsia="Consolas" w:hAnsi="Consolas"/>
                <w:color w:val="D8E8D8"/>
                <w:sz w:val="18"/>
                <w:szCs w:val="18"/>
              </w:rPr>
              <w:t xml:space="preserve">PO value, and a one-line reason. Always request approval before a PO is sent.</w:t>
            </w:r>
          </w:p>
        </w:tc>
      </w:tr>
    </w:tbl>
    <w:p>
      <w:pPr>
        <w:spacing w:after="120" w:line="276"/>
      </w:pPr>
      <w:r>
        <w:rPr>
          <w:rFonts w:ascii="Calibri" w:cs="Calibri" w:eastAsia="Calibri" w:hAnsi="Calibri"/>
          <w:sz w:val="21"/>
          <w:szCs w:val="21"/>
        </w:rPr>
        <w:t xml:space="preserve">Sample tool schema (JSON) for propose_purchase_order:</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1B1B1B" w:val="clear"/>
            <w:tcMar>
              <w:top w:type="dxa" w:w="120"/>
              <w:left w:type="dxa" w:w="160"/>
              <w:bottom w:type="dxa" w:w="120"/>
              <w:right w:type="dxa" w:w="160"/>
            </w:tcMar>
          </w:tcPr>
          <w:p>
            <w:pPr>
              <w:spacing w:after="20"/>
            </w:pPr>
            <w:r>
              <w:rPr>
                <w:rFonts w:ascii="Consolas" w:cs="Consolas" w:eastAsia="Consolas" w:hAnsi="Consolas"/>
                <w:color w:val="D8E8D8"/>
                <w:sz w:val="18"/>
                <w:szCs w:val="18"/>
              </w:rPr>
              <w:t xml:space="preserve">{</w:t>
            </w:r>
          </w:p>
          <w:p>
            <w:pPr>
              <w:spacing w:after="20"/>
            </w:pPr>
            <w:r>
              <w:rPr>
                <w:rFonts w:ascii="Consolas" w:cs="Consolas" w:eastAsia="Consolas" w:hAnsi="Consolas"/>
                <w:color w:val="D8E8D8"/>
                <w:sz w:val="18"/>
                <w:szCs w:val="18"/>
              </w:rPr>
              <w:t xml:space="preserve">  "name": "propose_purchase_order",</w:t>
            </w:r>
          </w:p>
          <w:p>
            <w:pPr>
              <w:spacing w:after="20"/>
            </w:pPr>
            <w:r>
              <w:rPr>
                <w:rFonts w:ascii="Consolas" w:cs="Consolas" w:eastAsia="Consolas" w:hAnsi="Consolas"/>
                <w:color w:val="D8E8D8"/>
                <w:sz w:val="18"/>
                <w:szCs w:val="18"/>
              </w:rPr>
              <w:t xml:space="preserve">  "description": "Size and price a reorder for a flagged raw material",</w:t>
            </w:r>
          </w:p>
          <w:p>
            <w:pPr>
              <w:spacing w:after="20"/>
            </w:pPr>
            <w:r>
              <w:rPr>
                <w:rFonts w:ascii="Consolas" w:cs="Consolas" w:eastAsia="Consolas" w:hAnsi="Consolas"/>
                <w:color w:val="D8E8D8"/>
                <w:sz w:val="18"/>
                <w:szCs w:val="18"/>
              </w:rPr>
              <w:t xml:space="preserve">  "parameters": {</w:t>
            </w:r>
          </w:p>
          <w:p>
            <w:pPr>
              <w:spacing w:after="20"/>
            </w:pPr>
            <w:r>
              <w:rPr>
                <w:rFonts w:ascii="Consolas" w:cs="Consolas" w:eastAsia="Consolas" w:hAnsi="Consolas"/>
                <w:color w:val="D8E8D8"/>
                <w:sz w:val="18"/>
                <w:szCs w:val="18"/>
              </w:rPr>
              <w:t xml:space="preserve">    "material_id": "string, e.g. RM-01",</w:t>
            </w:r>
          </w:p>
          <w:p>
            <w:pPr>
              <w:spacing w:after="20"/>
            </w:pPr>
            <w:r>
              <w:rPr>
                <w:rFonts w:ascii="Consolas" w:cs="Consolas" w:eastAsia="Consolas" w:hAnsi="Consolas"/>
                <w:color w:val="D8E8D8"/>
                <w:sz w:val="18"/>
                <w:szCs w:val="18"/>
              </w:rPr>
              <w:t xml:space="preserve">    "eoq_kg": "number",</w:t>
            </w:r>
          </w:p>
          <w:p>
            <w:pPr>
              <w:spacing w:after="20"/>
            </w:pPr>
            <w:r>
              <w:rPr>
                <w:rFonts w:ascii="Consolas" w:cs="Consolas" w:eastAsia="Consolas" w:hAnsi="Consolas"/>
                <w:color w:val="D8E8D8"/>
                <w:sz w:val="18"/>
                <w:szCs w:val="18"/>
              </w:rPr>
              <w:t xml:space="preserve">    "moq_kg": "number",</w:t>
            </w:r>
          </w:p>
          <w:p>
            <w:pPr>
              <w:spacing w:after="20"/>
            </w:pPr>
            <w:r>
              <w:rPr>
                <w:rFonts w:ascii="Consolas" w:cs="Consolas" w:eastAsia="Consolas" w:hAnsi="Consolas"/>
                <w:color w:val="D8E8D8"/>
                <w:sz w:val="18"/>
                <w:szCs w:val="18"/>
              </w:rPr>
              <w:t xml:space="preserve">    "unit_cost": "number"</w:t>
            </w:r>
          </w:p>
          <w:p>
            <w:pPr>
              <w:spacing w:after="20"/>
            </w:pPr>
            <w:r>
              <w:rPr>
                <w:rFonts w:ascii="Consolas" w:cs="Consolas" w:eastAsia="Consolas" w:hAnsi="Consolas"/>
                <w:color w:val="D8E8D8"/>
                <w:sz w:val="18"/>
                <w:szCs w:val="18"/>
              </w:rPr>
              <w:t xml:space="preserve">  },</w:t>
            </w:r>
          </w:p>
          <w:p>
            <w:pPr>
              <w:spacing w:after="20"/>
            </w:pPr>
            <w:r>
              <w:rPr>
                <w:rFonts w:ascii="Consolas" w:cs="Consolas" w:eastAsia="Consolas" w:hAnsi="Consolas"/>
                <w:color w:val="D8E8D8"/>
                <w:sz w:val="18"/>
                <w:szCs w:val="18"/>
              </w:rPr>
              <w:t xml:space="preserve">  "returns": "order_qty_kg, po_value_inr, rounds_to_moq_multiple: boolean"</w:t>
            </w:r>
          </w:p>
          <w:p>
            <w:pPr>
              <w:spacing w:after="20"/>
            </w:pPr>
            <w:r>
              <w:rPr>
                <w:rFonts w:ascii="Consolas" w:cs="Consolas" w:eastAsia="Consolas" w:hAnsi="Consolas"/>
                <w:color w:val="D8E8D8"/>
                <w:sz w:val="18"/>
                <w:szCs w:val="18"/>
              </w:rPr>
              <w:t xml:space="preserve">}</w:t>
            </w:r>
          </w:p>
        </w:tc>
      </w:tr>
    </w:tbl>
    <w:tbl>
      <w:tblPr>
        <w:tblW w:type="pct" w:w="100%"/>
        <w:tblBorders>
          <w:top w:val="single" w:color="C9A227" w:sz="4"/>
          <w:left w:val="single" w:color="C9A227" w:sz="4"/>
          <w:bottom w:val="single" w:color="C9A227" w:sz="4"/>
          <w:right w:val="single" w:color="C9A227" w:sz="4"/>
          <w:insideH w:val="single" w:color="auto" w:sz="4"/>
          <w:insideV w:val="single" w:color="auto" w:sz="4"/>
        </w:tblBorders>
      </w:tblPr>
      <w:tblGrid>
        <w:gridCol w:w="100"/>
      </w:tblGrid>
      <w:tr>
        <w:tc>
          <w:tcPr>
            <w:shd w:fill="FBF3D9" w:val="clear"/>
            <w:tcMar>
              <w:top w:type="dxa" w:w="120"/>
              <w:left w:type="dxa" w:w="160"/>
              <w:bottom w:type="dxa" w:w="120"/>
              <w:right w:type="dxa" w:w="160"/>
            </w:tcMar>
          </w:tcPr>
          <w:p>
            <w:pPr>
              <w:spacing w:after="60"/>
            </w:pPr>
            <w:r>
              <w:rPr>
                <w:rFonts w:ascii="Calibri" w:cs="Calibri" w:eastAsia="Calibri" w:hAnsi="Calibri"/>
                <w:b/>
                <w:bCs/>
                <w:color w:val="1F3864"/>
                <w:sz w:val="21"/>
                <w:szCs w:val="21"/>
              </w:rPr>
              <w:t xml:space="preserve">Why this is “agentic” and not just “a formula”</w:t>
            </w:r>
          </w:p>
          <w:p>
            <w:r>
              <w:rPr>
                <w:rFonts w:ascii="Calibri" w:cs="Calibri" w:eastAsia="Calibri" w:hAnsi="Calibri"/>
                <w:sz w:val="20"/>
                <w:szCs w:val="20"/>
              </w:rPr>
              <w:t xml:space="preserve">Excel shows you the arithmetic behind one day's snapshot. An agent runs that arithmetic every day, applies the ABC-tiered rule automatically, and — critically — only interrupts a human for the flags that actually matter (Class A), instead of a planner having to re-check 12 rows by hand every morning.</w:t>
            </w:r>
          </w:p>
        </w:tc>
      </w:tr>
    </w:tbl>
    <w:p>
      <w:pPr>
        <w:pStyle w:val="Heading1"/>
        <w:pBdr>
          <w:bottom w:val="single" w:color="C9A227" w:sz="12" w:space="4"/>
        </w:pBdr>
        <w:spacing w:after="140" w:before="320"/>
      </w:pPr>
      <w:r>
        <w:rPr>
          <w:rFonts w:ascii="Calibri" w:cs="Calibri" w:eastAsia="Calibri" w:hAnsi="Calibri"/>
          <w:b/>
          <w:bCs/>
          <w:color w:val="1F3864"/>
          <w:sz w:val="30"/>
          <w:szCs w:val="30"/>
        </w:rPr>
        <w:t xml:space="preserve">7. Results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1F3864"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Metric</w:t>
            </w:r>
          </w:p>
        </w:tc>
        <w:tc>
          <w:tcPr>
            <w:tcW w:type="pct" w:w="25%"/>
            <w:shd w:fill="1F3864"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Manual (flat 14-day)</w:t>
            </w:r>
          </w:p>
        </w:tc>
        <w:tc>
          <w:tcPr>
            <w:tcW w:type="pct" w:w="25%"/>
            <w:shd w:fill="1F3864"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AI-Naive (uniform 95%)</w:t>
            </w:r>
          </w:p>
        </w:tc>
        <w:tc>
          <w:tcPr>
            <w:tcW w:type="pct" w:w="25%"/>
            <w:shd w:fill="1F3864"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Agent (ABC-tiered)</w:t>
            </w:r>
          </w:p>
        </w:tc>
      </w:tr>
      <w:tr>
        <w:tc>
          <w:tcPr>
            <w:tcW w:type="pct" w:w="25%"/>
            <w:tcMar>
              <w:top w:type="dxa" w:w="80"/>
              <w:left w:type="dxa" w:w="100"/>
              <w:bottom w:type="dxa" w:w="80"/>
              <w:right w:type="dxa" w:w="100"/>
            </w:tcMar>
          </w:tcPr>
          <w:p>
            <w:pPr>
              <w:jc w:val="left"/>
            </w:pPr>
            <w:r>
              <w:rPr>
                <w:rFonts w:ascii="Calibri" w:cs="Calibri" w:eastAsia="Calibri" w:hAnsi="Calibri"/>
                <w:b/>
                <w:bCs/>
                <w:color w:val="000000"/>
                <w:sz w:val="20"/>
                <w:szCs w:val="20"/>
              </w:rPr>
              <w:t xml:space="preserve">Items flagged “Reorder Now”</w:t>
            </w:r>
          </w:p>
        </w:tc>
        <w:tc>
          <w:tcPr>
            <w:tcW w:type="pct" w:w="25%"/>
            <w:tcMar>
              <w:top w:type="dxa" w:w="80"/>
              <w:left w:type="dxa" w:w="100"/>
              <w:bottom w:type="dxa" w:w="80"/>
              <w:right w:type="dxa" w:w="100"/>
            </w:tcMar>
          </w:tcPr>
          <w:p>
            <w:pPr>
              <w:jc w:val="center"/>
            </w:pPr>
            <w:r>
              <w:rPr>
                <w:rFonts w:ascii="Calibri" w:cs="Calibri" w:eastAsia="Calibri" w:hAnsi="Calibri"/>
                <w:b w:val="false"/>
                <w:bCs w:val="false"/>
                <w:color w:val="000000"/>
                <w:sz w:val="20"/>
                <w:szCs w:val="20"/>
              </w:rPr>
              <w:t xml:space="preserve">2 of 12</w:t>
            </w:r>
          </w:p>
        </w:tc>
        <w:tc>
          <w:tcPr>
            <w:tcW w:type="pct" w:w="25%"/>
            <w:tcMar>
              <w:top w:type="dxa" w:w="80"/>
              <w:left w:type="dxa" w:w="100"/>
              <w:bottom w:type="dxa" w:w="80"/>
              <w:right w:type="dxa" w:w="100"/>
            </w:tcMar>
          </w:tcPr>
          <w:p>
            <w:pPr>
              <w:jc w:val="center"/>
            </w:pPr>
            <w:r>
              <w:rPr>
                <w:rFonts w:ascii="Calibri" w:cs="Calibri" w:eastAsia="Calibri" w:hAnsi="Calibri"/>
                <w:b w:val="false"/>
                <w:bCs w:val="false"/>
                <w:color w:val="000000"/>
                <w:sz w:val="20"/>
                <w:szCs w:val="20"/>
              </w:rPr>
              <w:t xml:space="preserve">2 of 12</w:t>
            </w:r>
          </w:p>
        </w:tc>
        <w:tc>
          <w:tcPr>
            <w:tcW w:type="pct" w:w="25%"/>
            <w:tcMar>
              <w:top w:type="dxa" w:w="80"/>
              <w:left w:type="dxa" w:w="100"/>
              <w:bottom w:type="dxa" w:w="80"/>
              <w:right w:type="dxa" w:w="100"/>
            </w:tcMar>
          </w:tcPr>
          <w:p>
            <w:pPr>
              <w:jc w:val="center"/>
            </w:pPr>
            <w:r>
              <w:rPr>
                <w:rFonts w:ascii="Calibri" w:cs="Calibri" w:eastAsia="Calibri" w:hAnsi="Calibri"/>
                <w:b w:val="false"/>
                <w:bCs w:val="false"/>
                <w:color w:val="000000"/>
                <w:sz w:val="20"/>
                <w:szCs w:val="20"/>
              </w:rPr>
              <w:t xml:space="preserve">4 of 12</w:t>
            </w:r>
          </w:p>
        </w:tc>
      </w:tr>
      <w:tr>
        <w:tc>
          <w:tcPr>
            <w:tcW w:type="pct" w:w="25%"/>
            <w:tcMar>
              <w:top w:type="dxa" w:w="80"/>
              <w:left w:type="dxa" w:w="100"/>
              <w:bottom w:type="dxa" w:w="80"/>
              <w:right w:type="dxa" w:w="100"/>
            </w:tcMar>
          </w:tcPr>
          <w:p>
            <w:pPr>
              <w:jc w:val="left"/>
            </w:pPr>
            <w:r>
              <w:rPr>
                <w:rFonts w:ascii="Calibri" w:cs="Calibri" w:eastAsia="Calibri" w:hAnsi="Calibri"/>
                <w:b/>
                <w:bCs/>
                <w:color w:val="000000"/>
                <w:sz w:val="20"/>
                <w:szCs w:val="20"/>
              </w:rPr>
              <w:t xml:space="preserve">Of which are genuine risks</w:t>
            </w:r>
          </w:p>
        </w:tc>
        <w:tc>
          <w:tcPr>
            <w:tcW w:type="pct" w:w="25%"/>
            <w:tcMar>
              <w:top w:type="dxa" w:w="80"/>
              <w:left w:type="dxa" w:w="100"/>
              <w:bottom w:type="dxa" w:w="80"/>
              <w:right w:type="dxa" w:w="100"/>
            </w:tcMar>
          </w:tcPr>
          <w:p>
            <w:pPr>
              <w:jc w:val="center"/>
            </w:pPr>
            <w:r>
              <w:rPr>
                <w:rFonts w:ascii="Calibri" w:cs="Calibri" w:eastAsia="Calibri" w:hAnsi="Calibri"/>
                <w:b w:val="false"/>
                <w:bCs w:val="false"/>
                <w:color w:val="000000"/>
                <w:sz w:val="20"/>
                <w:szCs w:val="20"/>
              </w:rPr>
              <w:t xml:space="preserve">0 of 2 (both false alarms)</w:t>
            </w:r>
          </w:p>
        </w:tc>
        <w:tc>
          <w:tcPr>
            <w:tcW w:type="pct" w:w="25%"/>
            <w:tcMar>
              <w:top w:type="dxa" w:w="80"/>
              <w:left w:type="dxa" w:w="100"/>
              <w:bottom w:type="dxa" w:w="80"/>
              <w:right w:type="dxa" w:w="100"/>
            </w:tcMar>
          </w:tcPr>
          <w:p>
            <w:pPr>
              <w:jc w:val="center"/>
            </w:pPr>
            <w:r>
              <w:rPr>
                <w:rFonts w:ascii="Calibri" w:cs="Calibri" w:eastAsia="Calibri" w:hAnsi="Calibri"/>
                <w:b w:val="false"/>
                <w:bCs w:val="false"/>
                <w:color w:val="000000"/>
                <w:sz w:val="20"/>
                <w:szCs w:val="20"/>
              </w:rPr>
              <w:t xml:space="preserve">2 of 2</w:t>
            </w:r>
          </w:p>
        </w:tc>
        <w:tc>
          <w:tcPr>
            <w:tcW w:type="pct" w:w="25%"/>
            <w:tcMar>
              <w:top w:type="dxa" w:w="80"/>
              <w:left w:type="dxa" w:w="100"/>
              <w:bottom w:type="dxa" w:w="80"/>
              <w:right w:type="dxa" w:w="100"/>
            </w:tcMar>
          </w:tcPr>
          <w:p>
            <w:pPr>
              <w:jc w:val="center"/>
            </w:pPr>
            <w:r>
              <w:rPr>
                <w:rFonts w:ascii="Calibri" w:cs="Calibri" w:eastAsia="Calibri" w:hAnsi="Calibri"/>
                <w:b w:val="false"/>
                <w:bCs w:val="false"/>
                <w:color w:val="000000"/>
                <w:sz w:val="20"/>
                <w:szCs w:val="20"/>
              </w:rPr>
              <w:t xml:space="preserve">4 of 4</w:t>
            </w:r>
          </w:p>
        </w:tc>
      </w:tr>
      <w:tr>
        <w:tc>
          <w:tcPr>
            <w:tcW w:type="pct" w:w="25%"/>
            <w:tcMar>
              <w:top w:type="dxa" w:w="80"/>
              <w:left w:type="dxa" w:w="100"/>
              <w:bottom w:type="dxa" w:w="80"/>
              <w:right w:type="dxa" w:w="100"/>
            </w:tcMar>
          </w:tcPr>
          <w:p>
            <w:pPr>
              <w:jc w:val="left"/>
            </w:pPr>
            <w:r>
              <w:rPr>
                <w:rFonts w:ascii="Calibri" w:cs="Calibri" w:eastAsia="Calibri" w:hAnsi="Calibri"/>
                <w:b/>
                <w:bCs/>
                <w:color w:val="000000"/>
                <w:sz w:val="20"/>
                <w:szCs w:val="20"/>
              </w:rPr>
              <w:t xml:space="preserve">Real risks missed</w:t>
            </w:r>
          </w:p>
        </w:tc>
        <w:tc>
          <w:tcPr>
            <w:tcW w:type="pct" w:w="25%"/>
            <w:tcMar>
              <w:top w:type="dxa" w:w="80"/>
              <w:left w:type="dxa" w:w="100"/>
              <w:bottom w:type="dxa" w:w="80"/>
              <w:right w:type="dxa" w:w="100"/>
            </w:tcMar>
          </w:tcPr>
          <w:p>
            <w:pPr>
              <w:jc w:val="center"/>
            </w:pPr>
            <w:r>
              <w:rPr>
                <w:rFonts w:ascii="Calibri" w:cs="Calibri" w:eastAsia="Calibri" w:hAnsi="Calibri"/>
                <w:b w:val="false"/>
                <w:bCs w:val="false"/>
                <w:color w:val="000000"/>
                <w:sz w:val="20"/>
                <w:szCs w:val="20"/>
              </w:rPr>
              <w:t xml:space="preserve">2 (RM-01, RM-11)</w:t>
            </w:r>
          </w:p>
        </w:tc>
        <w:tc>
          <w:tcPr>
            <w:tcW w:type="pct" w:w="25%"/>
            <w:tcMar>
              <w:top w:type="dxa" w:w="80"/>
              <w:left w:type="dxa" w:w="100"/>
              <w:bottom w:type="dxa" w:w="80"/>
              <w:right w:type="dxa" w:w="100"/>
            </w:tcMar>
          </w:tcPr>
          <w:p>
            <w:pPr>
              <w:jc w:val="center"/>
            </w:pPr>
            <w:r>
              <w:rPr>
                <w:rFonts w:ascii="Calibri" w:cs="Calibri" w:eastAsia="Calibri" w:hAnsi="Calibri"/>
                <w:b w:val="false"/>
                <w:bCs w:val="false"/>
                <w:color w:val="000000"/>
                <w:sz w:val="20"/>
                <w:szCs w:val="20"/>
              </w:rPr>
              <w:t xml:space="preserve">2 (RM-04, RM-12)</w:t>
            </w:r>
          </w:p>
        </w:tc>
        <w:tc>
          <w:tcPr>
            <w:tcW w:type="pct" w:w="25%"/>
            <w:tcMar>
              <w:top w:type="dxa" w:w="80"/>
              <w:left w:type="dxa" w:w="100"/>
              <w:bottom w:type="dxa" w:w="80"/>
              <w:right w:type="dxa" w:w="100"/>
            </w:tcMar>
          </w:tcPr>
          <w:p>
            <w:pPr>
              <w:jc w:val="center"/>
            </w:pPr>
            <w:r>
              <w:rPr>
                <w:rFonts w:ascii="Calibri" w:cs="Calibri" w:eastAsia="Calibri" w:hAnsi="Calibri"/>
                <w:b w:val="false"/>
                <w:bCs w:val="false"/>
                <w:color w:val="000000"/>
                <w:sz w:val="20"/>
                <w:szCs w:val="20"/>
              </w:rPr>
              <w:t xml:space="preserve">0</w:t>
            </w:r>
          </w:p>
        </w:tc>
      </w:tr>
      <w:tr>
        <w:tc>
          <w:tcPr>
            <w:tcW w:type="pct" w:w="25%"/>
            <w:tcMar>
              <w:top w:type="dxa" w:w="80"/>
              <w:left w:type="dxa" w:w="100"/>
              <w:bottom w:type="dxa" w:w="80"/>
              <w:right w:type="dxa" w:w="100"/>
            </w:tcMar>
          </w:tcPr>
          <w:p>
            <w:pPr>
              <w:jc w:val="left"/>
            </w:pPr>
            <w:r>
              <w:rPr>
                <w:rFonts w:ascii="Calibri" w:cs="Calibri" w:eastAsia="Calibri" w:hAnsi="Calibri"/>
                <w:b/>
                <w:bCs/>
                <w:color w:val="000000"/>
                <w:sz w:val="20"/>
                <w:szCs w:val="20"/>
              </w:rPr>
              <w:t xml:space="preserve">Total safety-stock value held</w:t>
            </w:r>
          </w:p>
        </w:tc>
        <w:tc>
          <w:tcPr>
            <w:tcW w:type="pct" w:w="25%"/>
            <w:tcMar>
              <w:top w:type="dxa" w:w="80"/>
              <w:left w:type="dxa" w:w="100"/>
              <w:bottom w:type="dxa" w:w="80"/>
              <w:right w:type="dxa" w:w="100"/>
            </w:tcMar>
          </w:tcPr>
          <w:p>
            <w:pPr>
              <w:jc w:val="center"/>
            </w:pPr>
            <w:r>
              <w:rPr>
                <w:rFonts w:ascii="Calibri" w:cs="Calibri" w:eastAsia="Calibri" w:hAnsi="Calibri"/>
                <w:b w:val="false"/>
                <w:bCs w:val="false"/>
                <w:color w:val="000000"/>
                <w:sz w:val="20"/>
                <w:szCs w:val="20"/>
              </w:rPr>
              <w:t xml:space="preserve">not modelled</w:t>
            </w:r>
          </w:p>
        </w:tc>
        <w:tc>
          <w:tcPr>
            <w:tcW w:type="pct" w:w="25%"/>
            <w:tcMar>
              <w:top w:type="dxa" w:w="80"/>
              <w:left w:type="dxa" w:w="100"/>
              <w:bottom w:type="dxa" w:w="80"/>
              <w:right w:type="dxa" w:w="100"/>
            </w:tcMar>
          </w:tcPr>
          <w:p>
            <w:pPr>
              <w:jc w:val="center"/>
            </w:pPr>
            <w:r>
              <w:rPr>
                <w:rFonts w:ascii="Calibri" w:cs="Calibri" w:eastAsia="Calibri" w:hAnsi="Calibri"/>
                <w:b w:val="false"/>
                <w:bCs w:val="false"/>
                <w:color w:val="000000"/>
                <w:sz w:val="20"/>
                <w:szCs w:val="20"/>
              </w:rPr>
              <w:t xml:space="preserve">INR 7.89 lakh</w:t>
            </w:r>
          </w:p>
        </w:tc>
        <w:tc>
          <w:tcPr>
            <w:tcW w:type="pct" w:w="25%"/>
            <w:tcMar>
              <w:top w:type="dxa" w:w="80"/>
              <w:left w:type="dxa" w:w="100"/>
              <w:bottom w:type="dxa" w:w="80"/>
              <w:right w:type="dxa" w:w="100"/>
            </w:tcMar>
          </w:tcPr>
          <w:p>
            <w:pPr>
              <w:jc w:val="center"/>
            </w:pPr>
            <w:r>
              <w:rPr>
                <w:rFonts w:ascii="Calibri" w:cs="Calibri" w:eastAsia="Calibri" w:hAnsi="Calibri"/>
                <w:b w:val="false"/>
                <w:bCs w:val="false"/>
                <w:color w:val="000000"/>
                <w:sz w:val="20"/>
                <w:szCs w:val="20"/>
              </w:rPr>
              <w:t xml:space="preserve">INR 10.18 lakh</w:t>
            </w:r>
          </w:p>
        </w:tc>
      </w:tr>
      <w:tr>
        <w:tc>
          <w:tcPr>
            <w:tcW w:type="pct" w:w="25%"/>
            <w:tcMar>
              <w:top w:type="dxa" w:w="80"/>
              <w:left w:type="dxa" w:w="100"/>
              <w:bottom w:type="dxa" w:w="80"/>
              <w:right w:type="dxa" w:w="100"/>
            </w:tcMar>
          </w:tcPr>
          <w:p>
            <w:pPr>
              <w:jc w:val="left"/>
            </w:pPr>
            <w:r>
              <w:rPr>
                <w:rFonts w:ascii="Calibri" w:cs="Calibri" w:eastAsia="Calibri" w:hAnsi="Calibri"/>
                <w:b/>
                <w:bCs/>
                <w:color w:val="000000"/>
                <w:sz w:val="20"/>
                <w:szCs w:val="20"/>
              </w:rPr>
              <w:t xml:space="preserve">Suggested PO value raised</w:t>
            </w:r>
          </w:p>
        </w:tc>
        <w:tc>
          <w:tcPr>
            <w:tcW w:type="pct" w:w="25%"/>
            <w:tcMar>
              <w:top w:type="dxa" w:w="80"/>
              <w:left w:type="dxa" w:w="100"/>
              <w:bottom w:type="dxa" w:w="80"/>
              <w:right w:type="dxa" w:w="100"/>
            </w:tcMar>
          </w:tcPr>
          <w:p>
            <w:pPr>
              <w:jc w:val="center"/>
            </w:pPr>
            <w:r>
              <w:rPr>
                <w:rFonts w:ascii="Calibri" w:cs="Calibri" w:eastAsia="Calibri" w:hAnsi="Calibri"/>
                <w:b w:val="false"/>
                <w:bCs w:val="false"/>
                <w:color w:val="000000"/>
                <w:sz w:val="20"/>
                <w:szCs w:val="20"/>
              </w:rPr>
              <w:t xml:space="preserve">not modelled</w:t>
            </w:r>
          </w:p>
        </w:tc>
        <w:tc>
          <w:tcPr>
            <w:tcW w:type="pct" w:w="25%"/>
            <w:tcMar>
              <w:top w:type="dxa" w:w="80"/>
              <w:left w:type="dxa" w:w="100"/>
              <w:bottom w:type="dxa" w:w="80"/>
              <w:right w:type="dxa" w:w="100"/>
            </w:tcMar>
          </w:tcPr>
          <w:p>
            <w:pPr>
              <w:jc w:val="center"/>
            </w:pPr>
            <w:r>
              <w:rPr>
                <w:rFonts w:ascii="Calibri" w:cs="Calibri" w:eastAsia="Calibri" w:hAnsi="Calibri"/>
                <w:b w:val="false"/>
                <w:bCs w:val="false"/>
                <w:color w:val="000000"/>
                <w:sz w:val="20"/>
                <w:szCs w:val="20"/>
              </w:rPr>
              <w:t xml:space="preserve">not modelled</w:t>
            </w:r>
          </w:p>
        </w:tc>
        <w:tc>
          <w:tcPr>
            <w:tcW w:type="pct" w:w="25%"/>
            <w:tcMar>
              <w:top w:type="dxa" w:w="80"/>
              <w:left w:type="dxa" w:w="100"/>
              <w:bottom w:type="dxa" w:w="80"/>
              <w:right w:type="dxa" w:w="100"/>
            </w:tcMar>
          </w:tcPr>
          <w:p>
            <w:pPr>
              <w:jc w:val="center"/>
            </w:pPr>
            <w:r>
              <w:rPr>
                <w:rFonts w:ascii="Calibri" w:cs="Calibri" w:eastAsia="Calibri" w:hAnsi="Calibri"/>
                <w:b w:val="false"/>
                <w:bCs w:val="false"/>
                <w:color w:val="000000"/>
                <w:sz w:val="20"/>
                <w:szCs w:val="20"/>
              </w:rPr>
              <w:t xml:space="preserve">INR 15.6 lakh</w:t>
            </w:r>
          </w:p>
        </w:tc>
      </w:tr>
    </w:tbl>
    <w:p>
      <w:pPr>
        <w:spacing w:after="120" w:line="276"/>
      </w:pPr>
      <w:r>
        <w:rPr>
          <w:rFonts w:ascii="Calibri" w:cs="Calibri" w:eastAsia="Calibri" w:hAnsi="Calibri"/>
          <w:sz w:val="21"/>
          <w:szCs w:val="21"/>
        </w:rPr>
        <w:t xml:space="preserve"/>
      </w:r>
    </w:p>
    <w:p>
      <w:pPr>
        <w:spacing w:after="120" w:line="276"/>
      </w:pPr>
      <w:r>
        <w:rPr>
          <w:rFonts w:ascii="Calibri" w:cs="Calibri" w:eastAsia="Calibri" w:hAnsi="Calibri"/>
          <w:sz w:val="21"/>
          <w:szCs w:val="21"/>
        </w:rPr>
        <w:t xml:space="preserve">Reading the numbers: raw flag-count alone is misleading — Manual's 2 flags are noise, Agent's 4 are all signal. The Agent holds 29% more safety-stock value than the naive model, but that increase is concentrated entirely on the four items whose lead time or cost makes a stock-out genuinely expensive; it simultaneously holds less buffer than the naive model on low-risk items like the additives.</w:t>
      </w:r>
    </w:p>
    <w:p>
      <w:pPr>
        <w:pStyle w:val="Heading1"/>
        <w:pBdr>
          <w:bottom w:val="single" w:color="C9A227" w:sz="12" w:space="4"/>
        </w:pBdr>
        <w:spacing w:after="140" w:before="320"/>
      </w:pPr>
      <w:r>
        <w:rPr>
          <w:rFonts w:ascii="Calibri" w:cs="Calibri" w:eastAsia="Calibri" w:hAnsi="Calibri"/>
          <w:b/>
          <w:bCs/>
          <w:color w:val="1F3864"/>
          <w:sz w:val="30"/>
          <w:szCs w:val="30"/>
        </w:rPr>
        <w:t xml:space="preserve">8. Tutorial — Building This in Excel</w:t>
      </w:r>
    </w:p>
    <w:p>
      <w:pPr>
        <w:pStyle w:val="Heading2"/>
        <w:spacing w:after="100" w:before="240"/>
      </w:pPr>
      <w:r>
        <w:rPr>
          <w:rFonts w:ascii="Calibri" w:cs="Calibri" w:eastAsia="Calibri" w:hAnsi="Calibri"/>
          <w:b/>
          <w:bCs/>
          <w:color w:val="1F3864"/>
          <w:sz w:val="24"/>
          <w:szCs w:val="24"/>
        </w:rPr>
        <w:t xml:space="preserve">Step 1 — Understand ABC_Classification</w:t>
      </w:r>
    </w:p>
    <w:p>
      <w:pPr>
        <w:pStyle w:val="ListParagraph"/>
        <w:numPr>
          <w:ilvl w:val="0"/>
          <w:numId w:val="1"/>
        </w:numPr>
        <w:spacing w:after="60"/>
      </w:pPr>
      <w:r>
        <w:rPr>
          <w:rFonts w:ascii="Calibri" w:cs="Calibri" w:eastAsia="Calibri" w:hAnsi="Calibri"/>
          <w:sz w:val="21"/>
          <w:szCs w:val="21"/>
        </w:rPr>
        <w:t xml:space="preserve">Rows are pre-ranked by Annual Usage Value (highest first) — that ordering is the input decision, just like the OrderID sequence in Case Study 1.</w:t>
      </w:r>
    </w:p>
    <w:p>
      <w:pPr>
        <w:pStyle w:val="ListParagraph"/>
        <w:numPr>
          <w:ilvl w:val="0"/>
          <w:numId w:val="1"/>
        </w:numPr>
        <w:spacing w:after="60"/>
      </w:pPr>
      <w:r>
        <w:rPr>
          <w:rFonts w:ascii="Calibri" w:cs="Calibri" w:eastAsia="Calibri" w:hAnsi="Calibri"/>
          <w:sz w:val="21"/>
          <w:szCs w:val="21"/>
        </w:rPr>
        <w:t xml:space="preserve">Cumulative % and the A/B/C class are both formulas — change any Unit Cost on Raw_Material_Data and watch an item's class shift if it crosses the 70%/90% line.</w:t>
      </w:r>
    </w:p>
    <w:p>
      <w:pPr>
        <w:pStyle w:val="Heading2"/>
        <w:spacing w:after="100" w:before="240"/>
      </w:pPr>
      <w:r>
        <w:rPr>
          <w:rFonts w:ascii="Calibri" w:cs="Calibri" w:eastAsia="Calibri" w:hAnsi="Calibri"/>
          <w:b/>
          <w:bCs/>
          <w:color w:val="1F3864"/>
          <w:sz w:val="24"/>
          <w:szCs w:val="24"/>
        </w:rPr>
        <w:t xml:space="preserve">Step 2 — Read the safety-stock formula</w:t>
      </w:r>
    </w:p>
    <w:p>
      <w:pPr>
        <w:pStyle w:val="ListParagraph"/>
        <w:numPr>
          <w:ilvl w:val="0"/>
          <w:numId w:val="1"/>
        </w:numPr>
        <w:spacing w:after="60"/>
      </w:pPr>
      <w:r>
        <w:rPr>
          <w:rFonts w:ascii="Calibri" w:cs="Calibri" w:eastAsia="Calibri" w:hAnsi="Calibri"/>
          <w:sz w:val="21"/>
          <w:szCs w:val="21"/>
        </w:rPr>
        <w:t xml:space="preserve">On AI_Naive_Policy: Safety Stock = Z × SQRT(Lead Time × Std-Dev-Daily² + Avg-Daily² × Lead-Time-StdDev²). Z comes from NORMSINV(service level) — change the service level cell and every row recalculates.</w:t>
      </w:r>
    </w:p>
    <w:p>
      <w:pPr>
        <w:pStyle w:val="ListParagraph"/>
        <w:numPr>
          <w:ilvl w:val="0"/>
          <w:numId w:val="1"/>
        </w:numPr>
        <w:spacing w:after="60"/>
      </w:pPr>
      <w:r>
        <w:rPr>
          <w:rFonts w:ascii="Calibri" w:cs="Calibri" w:eastAsia="Calibri" w:hAnsi="Calibri"/>
          <w:sz w:val="21"/>
          <w:szCs w:val="21"/>
        </w:rPr>
        <w:t xml:space="preserve">On Agent_Policy, the only difference is the Z lookup: =IF(Class=“A”,Z_A,IF(Class=“B”,Z_B,Z_C)) — everything else is identical. This is deliberately the smallest possible change from Approach 2 to Approach 3.</w:t>
      </w:r>
    </w:p>
    <w:p>
      <w:pPr>
        <w:pStyle w:val="Heading2"/>
        <w:spacing w:after="100" w:before="240"/>
      </w:pPr>
      <w:r>
        <w:rPr>
          <w:rFonts w:ascii="Calibri" w:cs="Calibri" w:eastAsia="Calibri" w:hAnsi="Calibri"/>
          <w:b/>
          <w:bCs/>
          <w:color w:val="1F3864"/>
          <w:sz w:val="24"/>
          <w:szCs w:val="24"/>
        </w:rPr>
        <w:t xml:space="preserve">Step 3 — Read the action columns on Agent_Policy</w:t>
      </w:r>
    </w:p>
    <w:p>
      <w:pPr>
        <w:pStyle w:val="ListParagraph"/>
        <w:numPr>
          <w:ilvl w:val="0"/>
          <w:numId w:val="1"/>
        </w:numPr>
        <w:spacing w:after="60"/>
      </w:pPr>
      <w:r>
        <w:rPr>
          <w:rFonts w:ascii="Calibri" w:cs="Calibri" w:eastAsia="Calibri" w:hAnsi="Calibri"/>
          <w:sz w:val="21"/>
          <w:szCs w:val="21"/>
        </w:rPr>
        <w:t xml:space="preserve">EOQ = SQRT(2 × Annual Demand × Ordering Cost / (Holding Rate × Unit Cost)) — the classic economic order quantity formula.</w:t>
      </w:r>
    </w:p>
    <w:p>
      <w:pPr>
        <w:pStyle w:val="ListParagraph"/>
        <w:numPr>
          <w:ilvl w:val="0"/>
          <w:numId w:val="1"/>
        </w:numPr>
        <w:spacing w:after="60"/>
      </w:pPr>
      <w:r>
        <w:rPr>
          <w:rFonts w:ascii="Calibri" w:cs="Calibri" w:eastAsia="Calibri" w:hAnsi="Calibri"/>
          <w:sz w:val="21"/>
          <w:szCs w:val="21"/>
        </w:rPr>
        <w:t xml:space="preserve">Suggested Order Qty rounds MAX(EOQ, MOQ) up to a clean multiple of the vendor's MOQ — change any MOQ on Raw_Material_Data and see the suggested quantity jump to match.</w:t>
      </w:r>
    </w:p>
    <w:p>
      <w:pPr>
        <w:pStyle w:val="Heading2"/>
        <w:spacing w:after="100" w:before="240"/>
      </w:pPr>
      <w:r>
        <w:rPr>
          <w:rFonts w:ascii="Calibri" w:cs="Calibri" w:eastAsia="Calibri" w:hAnsi="Calibri"/>
          <w:b/>
          <w:bCs/>
          <w:color w:val="1F3864"/>
          <w:sz w:val="24"/>
          <w:szCs w:val="24"/>
        </w:rPr>
        <w:t xml:space="preserve">Step 4 — Try your own service levels</w:t>
      </w:r>
    </w:p>
    <w:p>
      <w:pPr>
        <w:pStyle w:val="ListParagraph"/>
        <w:numPr>
          <w:ilvl w:val="0"/>
          <w:numId w:val="1"/>
        </w:numPr>
        <w:spacing w:after="60"/>
      </w:pPr>
      <w:r>
        <w:rPr>
          <w:rFonts w:ascii="Calibri" w:cs="Calibri" w:eastAsia="Calibri" w:hAnsi="Calibri"/>
          <w:sz w:val="21"/>
          <w:szCs w:val="21"/>
        </w:rPr>
        <w:t xml:space="preserve">Copy Agent_Policy to a new tab and try 99.5% for Class A — recheck Summary's safety-stock value to see the cost of that extra protection in rupees, not just percentage points.</w:t>
      </w:r>
    </w:p>
    <w:p>
      <w:pPr>
        <w:pStyle w:val="Heading2"/>
        <w:spacing w:after="100" w:before="240"/>
      </w:pPr>
      <w:r>
        <w:rPr>
          <w:rFonts w:ascii="Calibri" w:cs="Calibri" w:eastAsia="Calibri" w:hAnsi="Calibri"/>
          <w:b/>
          <w:bCs/>
          <w:color w:val="1F3864"/>
          <w:sz w:val="24"/>
          <w:szCs w:val="24"/>
        </w:rPr>
        <w:t xml:space="preserve">Step 5 — Visualise in Power BI</w:t>
      </w:r>
    </w:p>
    <w:p>
      <w:pPr>
        <w:pStyle w:val="ListParagraph"/>
        <w:numPr>
          <w:ilvl w:val="0"/>
          <w:numId w:val="1"/>
        </w:numPr>
        <w:spacing w:after="60"/>
      </w:pPr>
      <w:r>
        <w:rPr>
          <w:rFonts w:ascii="Calibri" w:cs="Calibri" w:eastAsia="Calibri" w:hAnsi="Calibri"/>
          <w:sz w:val="21"/>
          <w:szCs w:val="21"/>
        </w:rPr>
        <w:t xml:space="preserve">Load Raw_Material_Data, ABC_Classification and all three policy sheets as separate tables; relate them on Material ID.</w:t>
      </w:r>
    </w:p>
    <w:p>
      <w:pPr>
        <w:pStyle w:val="ListParagraph"/>
        <w:numPr>
          <w:ilvl w:val="0"/>
          <w:numId w:val="1"/>
        </w:numPr>
        <w:spacing w:after="60"/>
      </w:pPr>
      <w:r>
        <w:rPr>
          <w:rFonts w:ascii="Calibri" w:cs="Calibri" w:eastAsia="Calibri" w:hAnsi="Calibri"/>
          <w:sz w:val="21"/>
          <w:szCs w:val="21"/>
        </w:rPr>
        <w:t xml:space="preserve">Build a scatter of Annual Usage Value vs Lead Time, coloured by ABC class — this is usually the chart that convinces a purchasing team the flat rule needs to change.</w:t>
      </w:r>
    </w:p>
    <w:p>
      <w:pPr>
        <w:pStyle w:val="Heading2"/>
        <w:spacing w:after="100" w:before="240"/>
      </w:pPr>
      <w:r>
        <w:rPr>
          <w:rFonts w:ascii="Calibri" w:cs="Calibri" w:eastAsia="Calibri" w:hAnsi="Calibri"/>
          <w:b/>
          <w:bCs/>
          <w:color w:val="1F3864"/>
          <w:sz w:val="24"/>
          <w:szCs w:val="24"/>
        </w:rPr>
        <w:t xml:space="preserve">Step 6 (optional, advanced) — Sketch the agent in Copilot Studio</w:t>
      </w:r>
    </w:p>
    <w:p>
      <w:pPr>
        <w:pStyle w:val="ListParagraph"/>
        <w:numPr>
          <w:ilvl w:val="0"/>
          <w:numId w:val="1"/>
        </w:numPr>
        <w:spacing w:after="60"/>
      </w:pPr>
      <w:r>
        <w:rPr>
          <w:rFonts w:ascii="Calibri" w:cs="Calibri" w:eastAsia="Calibri" w:hAnsi="Calibri"/>
          <w:sz w:val="21"/>
          <w:szCs w:val="21"/>
        </w:rPr>
        <w:t xml:space="preserve">Use the system instructions from Section 6.2, with propose_purchase_order wired to a Power Automate flow that writes a draft PO into the ERP's purchase-requisition queue rather than sending it.</w:t>
      </w:r>
    </w:p>
    <w:p>
      <w:pPr>
        <w:pStyle w:val="ListParagraph"/>
        <w:numPr>
          <w:ilvl w:val="0"/>
          <w:numId w:val="1"/>
        </w:numPr>
        <w:spacing w:after="60"/>
      </w:pPr>
      <w:r>
        <w:rPr>
          <w:rFonts w:ascii="Calibri" w:cs="Calibri" w:eastAsia="Calibri" w:hAnsi="Calibri"/>
          <w:sz w:val="21"/>
          <w:szCs w:val="21"/>
        </w:rPr>
        <w:t xml:space="preserve">Trigger it on a schedule (daily) and additionally whenever a Rush order is confirmed in the Case Study 1 order sheet, so the agent checks pigment availability before the planner commits to the date.</w:t>
      </w:r>
    </w:p>
    <w:p>
      <w:pPr>
        <w:pStyle w:val="Heading1"/>
        <w:pBdr>
          <w:bottom w:val="single" w:color="C9A227" w:sz="12" w:space="4"/>
        </w:pBdr>
        <w:spacing w:after="140" w:before="320"/>
      </w:pPr>
      <w:r>
        <w:rPr>
          <w:rFonts w:ascii="Calibri" w:cs="Calibri" w:eastAsia="Calibri" w:hAnsi="Calibri"/>
          <w:b/>
          <w:bCs/>
          <w:color w:val="1F3864"/>
          <w:sz w:val="30"/>
          <w:szCs w:val="30"/>
        </w:rPr>
        <w:t xml:space="preserve">9. Discussion Questions / Extension Exercise</w:t>
      </w:r>
    </w:p>
    <w:p>
      <w:pPr>
        <w:pStyle w:val="ListParagraph"/>
        <w:numPr>
          <w:ilvl w:val="0"/>
          <w:numId w:val="1"/>
        </w:numPr>
        <w:spacing w:after="60"/>
      </w:pPr>
      <w:r>
        <w:rPr>
          <w:rFonts w:ascii="Calibri" w:cs="Calibri" w:eastAsia="Calibri" w:hAnsi="Calibri"/>
          <w:sz w:val="21"/>
          <w:szCs w:val="21"/>
        </w:rPr>
        <w:t xml:space="preserve">What other tiering variable, besides annual value, might matter for this business — e.g. number of alternate suppliers, or shelf life of a pigment dispersion?</w:t>
      </w:r>
    </w:p>
    <w:p>
      <w:pPr>
        <w:pStyle w:val="ListParagraph"/>
        <w:numPr>
          <w:ilvl w:val="0"/>
          <w:numId w:val="1"/>
        </w:numPr>
        <w:spacing w:after="60"/>
      </w:pPr>
      <w:r>
        <w:rPr>
          <w:rFonts w:ascii="Calibri" w:cs="Calibri" w:eastAsia="Calibri" w:hAnsi="Calibri"/>
          <w:sz w:val="21"/>
          <w:szCs w:val="21"/>
        </w:rPr>
        <w:t xml:space="preserve">The MOQ rounding in Agent_Policy can push a suggested order well above the EOQ — how would you flag that trade-off to a planner rather than hiding it inside one number?</w:t>
      </w:r>
    </w:p>
    <w:p>
      <w:pPr>
        <w:pStyle w:val="ListParagraph"/>
        <w:numPr>
          <w:ilvl w:val="0"/>
          <w:numId w:val="1"/>
        </w:numPr>
        <w:spacing w:after="60"/>
      </w:pPr>
      <w:r>
        <w:rPr>
          <w:rFonts w:ascii="Calibri" w:cs="Calibri" w:eastAsia="Calibri" w:hAnsi="Calibri"/>
          <w:sz w:val="21"/>
          <w:szCs w:val="21"/>
        </w:rPr>
        <w:t xml:space="preserve">Re-run the exercise assuming ChromaTech adds a second, faster domestic supplier for the blue pigment at a higher price — how does that change the safety-stock story for RM-01?</w:t>
      </w:r>
    </w:p>
    <w:p>
      <w:pPr>
        <w:pStyle w:val="ListParagraph"/>
        <w:numPr>
          <w:ilvl w:val="0"/>
          <w:numId w:val="1"/>
        </w:numPr>
        <w:spacing w:after="60"/>
      </w:pPr>
      <w:r>
        <w:rPr>
          <w:rFonts w:ascii="Calibri" w:cs="Calibri" w:eastAsia="Calibri" w:hAnsi="Calibri"/>
          <w:sz w:val="21"/>
          <w:szCs w:val="21"/>
        </w:rPr>
        <w:t xml:space="preserve">Using the two workbooks from Case Study 1 and Case Study 2 together: which confirmed Rush orders are actually exposed if RM-01 or RM-11 stock out before the next delivery arrives?</w:t>
      </w:r>
    </w:p>
    <w:p>
      <w:pPr>
        <w:pStyle w:val="Heading1"/>
        <w:pBdr>
          <w:bottom w:val="single" w:color="C9A227" w:sz="12" w:space="4"/>
        </w:pBdr>
        <w:spacing w:after="140" w:before="320"/>
      </w:pPr>
      <w:r>
        <w:rPr>
          <w:rFonts w:ascii="Calibri" w:cs="Calibri" w:eastAsia="Calibri" w:hAnsi="Calibri"/>
          <w:b/>
          <w:bCs/>
          <w:color w:val="1F3864"/>
          <w:sz w:val="30"/>
          <w:szCs w:val="30"/>
        </w:rPr>
        <w:t xml:space="preserve">10. Key Takeaways</w:t>
      </w:r>
    </w:p>
    <w:p>
      <w:pPr>
        <w:pStyle w:val="ListParagraph"/>
        <w:numPr>
          <w:ilvl w:val="0"/>
          <w:numId w:val="1"/>
        </w:numPr>
        <w:spacing w:after="60"/>
      </w:pPr>
      <w:r>
        <w:rPr>
          <w:rFonts w:ascii="Calibri" w:cs="Calibri" w:eastAsia="Calibri" w:hAnsi="Calibri"/>
          <w:sz w:val="21"/>
          <w:szCs w:val="21"/>
        </w:rPr>
        <w:t xml:space="preserve">A flat reorder rule fails in both directions at once — it raises unnecessary purchase orders on stable items and misses real risk on volatile, long-lead ones.</w:t>
      </w:r>
    </w:p>
    <w:p>
      <w:pPr>
        <w:pStyle w:val="ListParagraph"/>
        <w:numPr>
          <w:ilvl w:val="0"/>
          <w:numId w:val="1"/>
        </w:numPr>
        <w:spacing w:after="60"/>
      </w:pPr>
      <w:r>
        <w:rPr>
          <w:rFonts w:ascii="Calibri" w:cs="Calibri" w:eastAsia="Calibri" w:hAnsi="Calibri"/>
          <w:sz w:val="21"/>
          <w:szCs w:val="21"/>
        </w:rPr>
        <w:t xml:space="preserve">A single statistical service level is a real improvement, but “one target for everything” still under-protects the handful of items that actually drive business risk.</w:t>
      </w:r>
    </w:p>
    <w:p>
      <w:pPr>
        <w:pStyle w:val="ListParagraph"/>
        <w:numPr>
          <w:ilvl w:val="0"/>
          <w:numId w:val="1"/>
        </w:numPr>
        <w:spacing w:after="60"/>
      </w:pPr>
      <w:r>
        <w:rPr>
          <w:rFonts w:ascii="Calibri" w:cs="Calibri" w:eastAsia="Calibri" w:hAnsi="Calibri"/>
          <w:sz w:val="21"/>
          <w:szCs w:val="21"/>
        </w:rPr>
        <w:t xml:space="preserve">The step from Approach 2 to Approach 3 is small in formula terms (one IF added to the Z lookup) and large in business terms — tiering by criticality, and turning the flag into a priced purchase order, is what makes the output something a planner can act on directly.</w:t>
      </w:r>
    </w:p>
    <w:sectPr>
      <w:headerReference w:type="default" r:id="rId7"/>
      <w:footerReference w:type="default" r:id="rId8"/>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PEREPA EDU  |  Confidential training material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8" w:space="4"/>
      </w:pBdr>
    </w:pPr>
    <w:r>
      <w:rPr>
        <w:rFonts w:ascii="Calibri" w:cs="Calibri" w:eastAsia="Calibri" w:hAnsi="Calibri"/>
        <w:b/>
        <w:bCs/>
        <w:color w:val="1F3864"/>
        <w:sz w:val="18"/>
        <w:szCs w:val="18"/>
      </w:rPr>
      <w:t xml:space="preserve">PEREPA EDU</w:t>
    </w:r>
    <w:r>
      <w:rPr>
        <w:rFonts w:ascii="Calibri" w:cs="Calibri" w:eastAsia="Calibri" w:hAnsi="Calibri"/>
        <w:color w:val="595959"/>
        <w:sz w:val="18"/>
        <w:szCs w:val="18"/>
      </w:rPr>
      <w:t xml:space="preserve">   |   AI for Production Planning — Case Study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2026-09-27T12:02:26.802Z</dcterms:created>
  <dcterms:modified xsi:type="dcterms:W3CDTF">2026-09-27T12:02:26.811Z</dcterms:modified>
</cp:coreProperties>
</file>

<file path=docProps/custom.xml><?xml version="1.0" encoding="utf-8"?>
<Properties xmlns="http://schemas.openxmlformats.org/officeDocument/2006/custom-properties" xmlns:vt="http://schemas.openxmlformats.org/officeDocument/2006/docPropsVTypes"/>
</file>