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CCCC" w:sz="6" w:space="6"/>
        </w:pBdr>
        <w:spacing w:after="240"/>
      </w:pPr>
      <w:r>
        <w:rPr>
          <w:rFonts w:ascii="Calibri" w:cs="Calibri" w:eastAsia="Calibri" w:hAnsi="Calibri"/>
          <w:i/>
          <w:iCs/>
          <w:color w:val="8A8A8A"/>
          <w:sz w:val="18"/>
          <w:szCs w:val="18"/>
        </w:rPr>
        <w:t xml:space="preserve">Sample reference file — upload to Claude Project Knowledge as a formatting example (see Part B of the Projects &amp; Skills workbook)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pacing w:val="10"/>
          <w:sz w:val="32"/>
          <w:szCs w:val="32"/>
        </w:rPr>
        <w:t xml:space="preserve">MERIDIAN MANUFACTURING CO.</w:t>
      </w:r>
    </w:p>
    <w:p>
      <w:pPr>
        <w:pBdr>
          <w:bottom w:val="single" w:color="B8860B" w:sz="16" w:space="6"/>
        </w:pBdr>
        <w:spacing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Monthly MIS Report — July 2026 (FY 2026–27)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3B3B3B"/>
          <w:sz w:val="19"/>
          <w:szCs w:val="19"/>
        </w:rPr>
        <w:t xml:space="preserve">Prepared by: FP&amp;A (Priya Nair)   |   For: Office of the CFO   |   Date: 3-Aug-2026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Executive Summary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July revenue closed at ₹355 L against a budget of ₹350 L (+1.4%). Industrial Pumps missed budget by 6.9% in the month, driven by an OEM delivery that slipped from 28-Jul into early August; Valves &amp; Fittings and Spare Parts &amp; AMC both closed ahead of plan, at +11.3% and +6.7% respectively. Year-to-date (April–July), overall performance remains 2.9% ahead of budget, though Industrial Pumps continues to trail on a cumulative basis (-3.7%) and will need a strong August to stay on track for the year.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Performance by Product Line</w:t>
      </w:r>
    </w:p>
    <w:tbl>
      <w:tblPr>
        <w:tblW w:type="dxa" w:w="1040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2"/>
          <w:insideV w:val="single" w:color="D9D9D9" w:sz="2"/>
        </w:tblBorders>
        <w:tblLayout w:type="fixed"/>
      </w:tblPr>
      <w:tblGrid>
        <w:gridCol w:w="2200"/>
        <w:gridCol w:w="1100"/>
        <w:gridCol w:w="1100"/>
        <w:gridCol w:w="900"/>
        <w:gridCol w:w="1300"/>
        <w:gridCol w:w="1300"/>
        <w:gridCol w:w="1000"/>
        <w:gridCol w:w="15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 Line</w:t>
            </w:r>
          </w:p>
        </w:tc>
        <w:tc>
          <w:tcPr>
            <w:tcW w:type="dxa" w:w="11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Budget – Jul</w:t>
            </w:r>
          </w:p>
        </w:tc>
        <w:tc>
          <w:tcPr>
            <w:tcW w:type="dxa" w:w="11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– Jul</w:t>
            </w:r>
          </w:p>
        </w:tc>
        <w:tc>
          <w:tcPr>
            <w:tcW w:type="dxa" w:w="9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 %</w:t>
            </w:r>
          </w:p>
        </w:tc>
        <w:tc>
          <w:tcPr>
            <w:tcW w:type="dxa" w:w="13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YTD Budget
(Apr–Jul)</w:t>
            </w:r>
          </w:p>
        </w:tc>
        <w:tc>
          <w:tcPr>
            <w:tcW w:type="dxa" w:w="13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YTD Actual
(Apr–Jul)</w:t>
            </w:r>
          </w:p>
        </w:tc>
        <w:tc>
          <w:tcPr>
            <w:tcW w:type="dxa" w:w="10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YTD Var %</w:t>
            </w:r>
          </w:p>
        </w:tc>
        <w:tc>
          <w:tcPr>
            <w:tcW w:type="dxa" w:w="15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Industrial Pumps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175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163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-6.9%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670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645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-3.7%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9"/>
                <w:szCs w:val="19"/>
              </w:rPr>
              <w:t xml:space="preserve">🔴 Red Flag</w:t>
            </w:r>
          </w:p>
        </w:tc>
      </w:tr>
      <w:tr>
        <w:tc>
          <w:tcPr>
            <w:tcW w:type="dxa" w:w="2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Valves &amp; Fittings</w:t>
            </w:r>
          </w:p>
        </w:tc>
        <w:tc>
          <w:tcPr>
            <w:tcW w:type="dxa" w:w="11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115</w:t>
            </w:r>
          </w:p>
        </w:tc>
        <w:tc>
          <w:tcPr>
            <w:tcW w:type="dxa" w:w="11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128</w:t>
            </w:r>
          </w:p>
        </w:tc>
        <w:tc>
          <w:tcPr>
            <w:tcW w:type="dxa" w:w="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+11.3%</w:t>
            </w:r>
          </w:p>
        </w:tc>
        <w:tc>
          <w:tcPr>
            <w:tcW w:type="dxa" w:w="1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440</w:t>
            </w:r>
          </w:p>
        </w:tc>
        <w:tc>
          <w:tcPr>
            <w:tcW w:type="dxa" w:w="1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467</w:t>
            </w:r>
          </w:p>
        </w:tc>
        <w:tc>
          <w:tcPr>
            <w:tcW w:type="dxa" w:w="1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+6.1%</w:t>
            </w:r>
          </w:p>
        </w:tc>
        <w:tc>
          <w:tcPr>
            <w:tcW w:type="dxa" w:w="1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9"/>
                <w:szCs w:val="19"/>
              </w:rPr>
              <w:t xml:space="preserve">🔴 Red Flag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Spare Parts &amp; AMC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60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64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+6.7%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245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265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+8.2%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9"/>
                <w:szCs w:val="19"/>
              </w:rPr>
              <w:t xml:space="preserve">🔴 Red Flag</w:t>
            </w:r>
          </w:p>
        </w:tc>
      </w:tr>
      <w:tr>
        <w:tc>
          <w:tcPr>
            <w:tcW w:type="dxa" w:w="2200"/>
            <w:shd w:fill="FBF1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Total</w:t>
            </w:r>
          </w:p>
        </w:tc>
        <w:tc>
          <w:tcPr>
            <w:tcW w:type="dxa" w:w="1100"/>
            <w:shd w:fill="FBF1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350</w:t>
            </w:r>
          </w:p>
        </w:tc>
        <w:tc>
          <w:tcPr>
            <w:tcW w:type="dxa" w:w="1100"/>
            <w:shd w:fill="FBF1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355</w:t>
            </w:r>
          </w:p>
        </w:tc>
        <w:tc>
          <w:tcPr>
            <w:tcW w:type="dxa" w:w="900"/>
            <w:shd w:fill="FBF1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+1.4%</w:t>
            </w:r>
          </w:p>
        </w:tc>
        <w:tc>
          <w:tcPr>
            <w:tcW w:type="dxa" w:w="1300"/>
            <w:shd w:fill="FBF1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1,540</w:t>
            </w:r>
          </w:p>
        </w:tc>
        <w:tc>
          <w:tcPr>
            <w:tcW w:type="dxa" w:w="1300"/>
            <w:shd w:fill="FBF1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1,585</w:t>
            </w:r>
          </w:p>
        </w:tc>
        <w:tc>
          <w:tcPr>
            <w:tcW w:type="dxa" w:w="1000"/>
            <w:shd w:fill="FBF1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+2.9%</w:t>
            </w:r>
          </w:p>
        </w:tc>
        <w:tc>
          <w:tcPr>
            <w:tcW w:type="dxa" w:w="1500"/>
            <w:shd w:fill="FBF1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Within range</w:t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i/>
          <w:iCs/>
          <w:color w:val="8A8A8A"/>
          <w:sz w:val="18"/>
          <w:szCs w:val="18"/>
        </w:rPr>
        <w:t xml:space="preserve">₹ Lakh. Flag threshold: ±5% monthly variance, per standing Project instruction.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Commentary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Industrial Pumps (-6.9% MoM, -3.7% YTD): a 12-unit OEM order deferred from 28-Jul to 4-Aug at the customer’s request — underlying demand is unaffected and the order has since been billed in August.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Valves &amp; Fittings (+11.3% MoM, +6.1% YTD): a strong reorder from two MRO distributors ahead of the monsoon maintenance cycle.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Spare Parts &amp; AMC (+6.7% MoM, +8.2% YTD): AMC renewals tracking ahead of plan — no cause for concern.</w:t>
      </w:r>
    </w:p>
    <w:p>
      <w:pPr>
        <w:pBdr>
          <w:top w:val="single" w:color="CCCCCC" w:sz="6" w:space="6"/>
        </w:pBdr>
        <w:spacing w:before="300"/>
      </w:pPr>
      <w:r>
        <w:rPr>
          <w:rFonts w:ascii="Calibri" w:cs="Calibri" w:eastAsia="Calibri" w:hAnsi="Calibri"/>
          <w:i/>
          <w:iCs/>
          <w:color w:val="8A8A8A"/>
          <w:sz w:val="17"/>
          <w:szCs w:val="17"/>
        </w:rPr>
        <w:t xml:space="preserve">Meridian Manufacturing Co. · Finance &amp; Accounts · Confidential — for internal circulation</w:t>
      </w:r>
    </w:p>
    <w:sectPr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2026-09-22T00:20:25.077Z</dcterms:created>
  <dcterms:modified xsi:type="dcterms:W3CDTF">2026-09-22T00:20:25.077Z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