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aps/>
          <w:color w:val="C9A227"/>
          <w:spacing w:val="20"/>
          <w:sz w:val="24"/>
          <w:szCs w:val="24"/>
        </w:rPr>
        <w:t xml:space="preserve">PEREPA EDU</w:t>
      </w:r>
    </w:p>
    <w:p>
      <w:pPr>
        <w:spacing w:after="700"/>
      </w:pPr>
      <w:r>
        <w:rPr>
          <w:i/>
          <w:iCs/>
          <w:color w:val="1B2A4A"/>
          <w:sz w:val="22"/>
          <w:szCs w:val="22"/>
        </w:rPr>
        <w:t xml:space="preserve">AI at Work: Practical Claude Skills</w:t>
      </w:r>
    </w:p>
    <w:p>
      <w:pPr>
        <w:spacing w:after="120"/>
      </w:pPr>
      <w:r>
        <w:rPr>
          <w:b/>
          <w:bCs/>
          <w:color w:val="1B2A4A"/>
          <w:sz w:val="56"/>
          <w:szCs w:val="56"/>
        </w:rPr>
        <w:t xml:space="preserve">Claude Cowork</w:t>
      </w:r>
    </w:p>
    <w:p>
      <w:pPr>
        <w:pBdr>
          <w:bottom w:val="single" w:color="C9A227" w:sz="16" w:space="8"/>
        </w:pBdr>
        <w:spacing w:after="500"/>
      </w:pPr>
      <w:r>
        <w:rPr>
          <w:b/>
          <w:bCs/>
          <w:color w:val="1B2A4A"/>
          <w:sz w:val="34"/>
          <w:szCs w:val="34"/>
        </w:rPr>
        <w:t xml:space="preserve">Delegating Multi-Step Work</w:t>
      </w:r>
    </w:p>
    <w:p>
      <w:pPr>
        <w:spacing w:after="80"/>
      </w:pPr>
      <w:r>
        <w:rPr>
          <w:b/>
          <w:bCs/>
          <w:color w:val="C9A227"/>
          <w:spacing w:val="10"/>
          <w:sz w:val="20"/>
          <w:szCs w:val="20"/>
        </w:rPr>
        <w:t xml:space="preserve">MODULE 5 · ADVANCED CLAUDE CAPABILITIES FOR BUSINESS</w:t>
      </w:r>
    </w:p>
    <w:p>
      <w:pPr>
        <w:spacing w:after="40"/>
      </w:pPr>
      <w:r>
        <w:rPr>
          <w:i/>
          <w:iCs/>
          <w:color w:val="1B2A4A"/>
          <w:sz w:val="22"/>
          <w:szCs w:val="22"/>
        </w:rPr>
        <w:t xml:space="preserve">Participant Workbook</w:t>
      </w:r>
    </w:p>
    <w:p>
      <w:pPr>
        <w:spacing w:after="40"/>
      </w:pPr>
      <w:r>
        <w:rPr>
          <w:color w:val="222222"/>
          <w:sz w:val="21"/>
          <w:szCs w:val="21"/>
        </w:rPr>
        <w:t xml:space="preserve">Case Study: Meridian Manufacturing Co. — Quarterly Board MIS Pack</w:t>
      </w:r>
    </w:p>
    <w:p>
      <w:pPr>
        <w:spacing w:before="900"/>
      </w:pPr>
      <w:r>
        <w:rPr>
          <w:i/>
          <w:iCs/>
          <w:color w:val="222222"/>
          <w:sz w:val="18"/>
          <w:szCs w:val="18"/>
        </w:rPr>
        <w:t xml:space="preserve">Includes: case study · practice data · step-by-step tutorial with prompts</w:t>
      </w:r>
    </w:p>
    <w:p>
      <w:r>
        <w:br w:type="page"/>
      </w:r>
    </w:p>
    <w:p>
      <w:pPr>
        <w:pStyle w:val="Heading1"/>
        <w:spacing w:after="240"/>
      </w:pPr>
      <w:r>
        <w:rPr>
          <w:b/>
          <w:bCs/>
          <w:color w:val="1B2A4A"/>
          <w:sz w:val="32"/>
          <w:szCs w:val="32"/>
        </w:rPr>
        <w:t xml:space="preserve">Contents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1. Learning Objectives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2. What Is Claude Cowork?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3. Case Study: The Friday Afternoon MIS Crunch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4. Practice File — Meridian Manufacturing Co., Q2 FY27 Data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5. Step-by-Step Tutorial: Prompts for Claude Cowork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6. Expected Output — Sample MIS Pack Summary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7. Facilitator Notes &amp; Discussion Questions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8. Key Takeaways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Learning Objectives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By the end of this topic, participants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Recognise when a task calls for Claude Cowork rather than a single chat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Frame a multi-step objective with the right files and business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Combine multiple skills and tools — document generation, spreadsheet workings, data analysis — inside one delegated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Review Claude's plan and steer it mid-task, rather than only correcting the finished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Apply this to a real finance workflow: preparing a quarterly board MIS pack.</w:t>
      </w:r>
    </w:p>
    <w:p>
      <w:pPr>
        <w:spacing w:after="200"/>
      </w:pPr>
    </w:p>
    <w:p>
      <w:pPr>
        <w:pStyle w:val="Heading1"/>
        <w:pBdr>
          <w:bottom w:val="single" w:color="C9A227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What Is Claude Cowork?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Claude Cowork is built for work that has several dependent steps, several source files, and a deliverable at the end — not a single question with a single answer. Instead of writing one long prompt and hoping for the best, you give Claude an objective, hand over the files, and stay involved at the points that matter.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Four things Cowork does differently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Delegate multi-step work — hand off a task with several dependent steps, not just one instruction.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Provide objectives, files &amp; context — attach the source data and state the outcome you want; Claude works out the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Combine Skills, Plugins &amp; connected tools — document and spreadsheet generation, data analysis, and (where connected) your accounting or CRM systems work together inside one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Review and steer Claude's work — check the plan, correct direction mid-task, and approve before anything is finalised.</w:t>
      </w:r>
    </w:p>
    <w:p>
      <w:pPr>
        <w:spacing w:after="80"/>
      </w:pPr>
    </w:p>
    <w:p>
      <w:pPr>
        <w:spacing w:after="14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Chat vs Cowork, in one line: chat is one prompt → one answer. Cowork is objective → plan → execution → checkpoints → deliverable.</w:t>
      </w:r>
    </w:p>
    <w:p>
      <w:pPr>
        <w:spacing w:after="200"/>
      </w:pPr>
    </w:p>
    <w:p>
      <w:pPr>
        <w:pStyle w:val="Heading1"/>
        <w:pBdr>
          <w:bottom w:val="single" w:color="C9A227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Case Study: The Friday Afternoon MIS Crunch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Priya Nair is a Senior Finance Analyst at Meridian Manufacturing Co., a mid-sized industrial components manufacturer. Every quarter, she prepares the Board MIS pack — a single report covering revenue performance, cost variances, working capital risk, and GST/TDS compliance status, due on the CFO's desk before Monday's board meeting.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numbers live in five separate files pulled from four departments: Sales, Finance/Opex, Accounts Receivable, and Statutory Compliance. Building the pack manually — reconciling figures, writing variance commentary, formatting it to board standard — normally takes Priya close to two working days.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quarter, Priya decides to delegate the whole task to Claude Cowork: she states the objective once, attaches all five files together, and reviews Claude's plan and output at a few checkpoints rather than building each section herself.</w:t>
      </w:r>
    </w:p>
    <w:p>
      <w:pPr>
        <w:spacing w:after="200"/>
      </w:pPr>
    </w:p>
    <w:p>
      <w:pPr>
        <w:pStyle w:val="Heading1"/>
        <w:pBdr>
          <w:bottom w:val="single" w:color="C9A227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Practice File — Meridian Manufacturing Co., Q2 FY27 (Jul–Sep 2026)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Recreate the five tables below as separate files (Excel or CSV) to mirror the multi-file upload Priya would make into Claude Cowork. All figures are in INR Lakh unless noted.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A. Sales by Region (INR Lakh)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6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2666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95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195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95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dxa" w:w="195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 %</w:t>
            </w:r>
          </w:p>
        </w:tc>
      </w:tr>
      <w:tr>
        <w:tc>
          <w:tcPr>
            <w:tcW w:type="dxa" w:w="26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North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450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428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-22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-4.9%</w:t>
            </w:r>
          </w:p>
        </w:tc>
      </w:tr>
      <w:tr>
        <w:tc>
          <w:tcPr>
            <w:tcW w:type="dxa" w:w="266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South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380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412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+32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+8.4%</w:t>
            </w:r>
          </w:p>
        </w:tc>
      </w:tr>
      <w:tr>
        <w:tc>
          <w:tcPr>
            <w:tcW w:type="dxa" w:w="26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West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520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505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-15</w:t>
            </w:r>
          </w:p>
        </w:tc>
        <w:tc>
          <w:tcPr>
            <w:tcW w:type="dxa" w:w="195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-2.9%</w:t>
            </w:r>
          </w:p>
        </w:tc>
      </w:tr>
      <w:tr>
        <w:tc>
          <w:tcPr>
            <w:tcW w:type="dxa" w:w="266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East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290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305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+15</w:t>
            </w:r>
          </w:p>
        </w:tc>
        <w:tc>
          <w:tcPr>
            <w:tcW w:type="dxa" w:w="195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+5.2%</w:t>
            </w:r>
          </w:p>
        </w:tc>
      </w:tr>
      <w:tr>
        <w:tc>
          <w:tcPr>
            <w:tcW w:type="dxa" w:w="2666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95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1,640</w:t>
            </w:r>
          </w:p>
        </w:tc>
        <w:tc>
          <w:tcPr>
            <w:tcW w:type="dxa" w:w="195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1,650</w:t>
            </w:r>
          </w:p>
        </w:tc>
        <w:tc>
          <w:tcPr>
            <w:tcW w:type="dxa" w:w="195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+10</w:t>
            </w:r>
          </w:p>
        </w:tc>
        <w:tc>
          <w:tcPr>
            <w:tcW w:type="dxa" w:w="195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+0.6%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B. Operating Expense by Department (INR Lakh)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6"/>
        <w:gridCol w:w="2300"/>
        <w:gridCol w:w="2300"/>
        <w:gridCol w:w="2300"/>
      </w:tblGrid>
      <w:tr>
        <w:trPr>
          <w:tblHeader/>
        </w:trPr>
        <w:tc>
          <w:tcPr>
            <w:tcW w:type="dxa" w:w="3566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</w:tr>
      <w:tr>
        <w:tc>
          <w:tcPr>
            <w:tcW w:type="dxa" w:w="35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635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+25</w:t>
            </w:r>
          </w:p>
        </w:tc>
      </w:tr>
      <w:tr>
        <w:tc>
          <w:tcPr>
            <w:tcW w:type="dxa" w:w="356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Sales &amp; Marketing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145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132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-13</w:t>
            </w:r>
          </w:p>
        </w:tc>
      </w:tr>
      <w:tr>
        <w:tc>
          <w:tcPr>
            <w:tcW w:type="dxa" w:w="35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&amp; HR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95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98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+3</w:t>
            </w:r>
          </w:p>
        </w:tc>
      </w:tr>
      <w:tr>
        <w:tc>
          <w:tcPr>
            <w:tcW w:type="dxa" w:w="356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Logistics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205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+25</w:t>
            </w:r>
          </w:p>
        </w:tc>
      </w:tr>
      <w:tr>
        <w:tc>
          <w:tcPr>
            <w:tcW w:type="dxa" w:w="3566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230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1,030</w:t>
            </w:r>
          </w:p>
        </w:tc>
        <w:tc>
          <w:tcPr>
            <w:tcW w:type="dxa" w:w="230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1,070</w:t>
            </w:r>
          </w:p>
        </w:tc>
        <w:tc>
          <w:tcPr>
            <w:tcW w:type="dxa" w:w="230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+40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C. Accounts Receivable Ageing by Customer (INR Lakh)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6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666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5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0–30 days</w:t>
            </w:r>
          </w:p>
        </w:tc>
        <w:tc>
          <w:tcPr>
            <w:tcW w:type="dxa" w:w="15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31–60 days</w:t>
            </w:r>
          </w:p>
        </w:tc>
        <w:tc>
          <w:tcPr>
            <w:tcW w:type="dxa" w:w="15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61–90 days</w:t>
            </w:r>
          </w:p>
        </w:tc>
        <w:tc>
          <w:tcPr>
            <w:tcW w:type="dxa" w:w="15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90+ days</w:t>
            </w:r>
          </w:p>
        </w:tc>
        <w:tc>
          <w:tcPr>
            <w:tcW w:type="dxa" w:w="15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6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Sunrise Traders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45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57</w:t>
            </w:r>
          </w:p>
        </w:tc>
      </w:tr>
      <w:tr>
        <w:tc>
          <w:tcPr>
            <w:tcW w:type="dxa" w:w="266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Kavya Industries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95</w:t>
            </w:r>
          </w:p>
        </w:tc>
      </w:tr>
      <w:tr>
        <w:tc>
          <w:tcPr>
            <w:tcW w:type="dxa" w:w="26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Om Distributors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65</w:t>
            </w:r>
          </w:p>
        </w:tc>
      </w:tr>
      <w:tr>
        <w:tc>
          <w:tcPr>
            <w:tcW w:type="dxa" w:w="2666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56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135</w:t>
            </w:r>
          </w:p>
        </w:tc>
        <w:tc>
          <w:tcPr>
            <w:tcW w:type="dxa" w:w="156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45</w:t>
            </w:r>
          </w:p>
        </w:tc>
        <w:tc>
          <w:tcPr>
            <w:tcW w:type="dxa" w:w="156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56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156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217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D. GST / TDS Compliance Snapshot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6"/>
        <w:gridCol w:w="2100"/>
        <w:gridCol w:w="2500"/>
      </w:tblGrid>
      <w:tr>
        <w:trPr>
          <w:tblHeader/>
        </w:trPr>
        <w:tc>
          <w:tcPr>
            <w:tcW w:type="dxa" w:w="5866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1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(INR)</w:t>
            </w:r>
          </w:p>
        </w:tc>
        <w:tc>
          <w:tcPr>
            <w:tcW w:type="dxa" w:w="2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GSTR-2B vs purchase register mismatch (vendor invoices not reflected)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9"/>
                <w:szCs w:val="19"/>
              </w:rPr>
              <w:t xml:space="preserve">4,20,000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9"/>
                <w:szCs w:val="19"/>
              </w:rPr>
              <w:t xml:space="preserve">Open — needs vendor follow-up</w:t>
            </w:r>
          </w:p>
        </w:tc>
      </w:tr>
      <w:tr>
        <w:tc>
          <w:tcPr>
            <w:tcW w:type="dxa" w:w="586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TDS shortfall u/s 194C (contractor payments)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9"/>
                <w:szCs w:val="19"/>
              </w:rPr>
              <w:t xml:space="preserve">38,000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9"/>
                <w:szCs w:val="19"/>
              </w:rPr>
              <w:t xml:space="preserve">Open — short-deducted</w:t>
            </w:r>
          </w:p>
        </w:tc>
      </w:tr>
      <w:tr>
        <w:tc>
          <w:tcPr>
            <w:tcW w:type="dxa" w:w="58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Interest on TDS shortfall u/s 201(1A)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9"/>
                <w:szCs w:val="19"/>
              </w:rPr>
              <w:t xml:space="preserve">2,280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9"/>
                <w:szCs w:val="19"/>
              </w:rPr>
              <w:t xml:space="preserve">Accrue in this quarter</w:t>
            </w:r>
          </w:p>
        </w:tc>
      </w:tr>
      <w:tr>
        <w:tc>
          <w:tcPr>
            <w:tcW w:type="dxa" w:w="586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Input tax credit at risk pending reconciliation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9"/>
                <w:szCs w:val="19"/>
              </w:rPr>
              <w:t xml:space="preserve">4,20,000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22222"/>
                <w:sz w:val="19"/>
                <w:szCs w:val="19"/>
              </w:rPr>
              <w:t xml:space="preserve">At risk before GSTR-3B filing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E. Budget vs Actual — P&amp;L Summary (INR Lakh)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6"/>
        <w:gridCol w:w="2300"/>
        <w:gridCol w:w="2300"/>
        <w:gridCol w:w="2300"/>
      </w:tblGrid>
      <w:tr>
        <w:trPr>
          <w:tblHeader/>
        </w:trPr>
        <w:tc>
          <w:tcPr>
            <w:tcW w:type="dxa" w:w="3566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</w:tr>
      <w:tr>
        <w:tc>
          <w:tcPr>
            <w:tcW w:type="dxa" w:w="35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1,640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1,650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+10</w:t>
            </w:r>
          </w:p>
        </w:tc>
      </w:tr>
      <w:tr>
        <w:tc>
          <w:tcPr>
            <w:tcW w:type="dxa" w:w="356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Operating expenses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1,030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1,070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+40</w:t>
            </w:r>
          </w:p>
        </w:tc>
      </w:tr>
      <w:tr>
        <w:tc>
          <w:tcPr>
            <w:tcW w:type="dxa" w:w="35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EBITDA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580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-30</w:t>
            </w:r>
          </w:p>
        </w:tc>
      </w:tr>
      <w:tr>
        <w:tc>
          <w:tcPr>
            <w:tcW w:type="dxa" w:w="3566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EBITDA margin</w:t>
            </w:r>
          </w:p>
        </w:tc>
        <w:tc>
          <w:tcPr>
            <w:tcW w:type="dxa" w:w="230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37.2%</w:t>
            </w:r>
          </w:p>
        </w:tc>
        <w:tc>
          <w:tcPr>
            <w:tcW w:type="dxa" w:w="230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35.2%</w:t>
            </w:r>
          </w:p>
        </w:tc>
        <w:tc>
          <w:tcPr>
            <w:tcW w:type="dxa" w:w="230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-2.0 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Step-by-Step Tutorial: Prompts for Claude Cowork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Use the exact prompt text below (or adapt the figures to your own practice run). Each step names the action first and the prompt second.</w:t>
      </w:r>
    </w:p>
    <w:p>
      <w:pPr>
        <w:shd w:fill="1B2A4A" w:val="clear"/>
        <w:spacing w:after="6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 — Frame the objective and attach the files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Action: Priya opens Claude Cowork and attaches all five files from Section 4 in one go, then states the outcome, not the method.</w:t>
      </w:r>
    </w:p>
    <w:tbl>
      <w:tblPr>
        <w:tblW w:type="dxa" w:w="10466"/>
        <w:tblBorders>
          <w:top w:val="single" w:color="C9A227" w:sz="4"/>
          <w:left w:val="single" w:color="C9A227" w:sz="24"/>
          <w:bottom w:val="single" w:color="C9A227" w:sz="4"/>
          <w:right w:val="single" w:color="C9A227" w:sz="4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F6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Prompt:</w:t>
            </w:r>
          </w:p>
          <w:p>
            <w:r>
              <w:rPr>
                <w:i/>
                <w:iCs/>
                <w:color w:val="13203A"/>
                <w:sz w:val="21"/>
                <w:szCs w:val="21"/>
              </w:rPr>
              <w:t xml:space="preserve">I need a Quarterly Board MIS Pack for Meridian Manufacturing Co., Q2 FY27 (Jul–Sep 2026). I'm attaching five files: Sales by Region, Opex by Department, AR Ageing, GST/TDS Compliance Snapshot, and Budget vs Actual. Build a board-ready report covering: (1) revenue and margin performance vs budget, (2) the key variance drivers by region and department, (3) collections risk from the AR ageing, (4) GST/TDS exceptions that need action before filing, and (5) three recommendations for the CFO. Format it as a Word document in our PEREPA EDU navy and gold branding. Before you start, show me your plan.</w:t>
            </w:r>
          </w:p>
        </w:tc>
      </w:tr>
    </w:tbl>
    <w:p>
      <w:pPr>
        <w:shd w:fill="1B2A4A" w:val="clear"/>
        <w:spacing w:after="6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 — Review the plan before any work starts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Action: Cowork returns a short plan — read files, compute variances, rank the AR ageing risk, list GST/TDS exceptions, draft the report, confirm with Priya. She steers it before execution begins.</w:t>
      </w:r>
    </w:p>
    <w:tbl>
      <w:tblPr>
        <w:tblW w:type="dxa" w:w="10466"/>
        <w:tblBorders>
          <w:top w:val="single" w:color="C9A227" w:sz="4"/>
          <w:left w:val="single" w:color="C9A227" w:sz="24"/>
          <w:bottom w:val="single" w:color="C9A227" w:sz="4"/>
          <w:right w:val="single" w:color="C9A227" w:sz="4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F6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Prompt:</w:t>
            </w:r>
          </w:p>
          <w:p>
            <w:r>
              <w:rPr>
                <w:i/>
                <w:iCs/>
                <w:color w:val="13203A"/>
                <w:sz w:val="21"/>
                <w:szCs w:val="21"/>
              </w:rPr>
              <w:t xml:space="preserve">This plan looks right, but two changes: show variance as both an absolute number and a percentage everywhere, and put the AR ageing risk section right after the executive summary — the board flagged our DSO last quarter and will ask about it first.</w:t>
            </w:r>
          </w:p>
        </w:tc>
      </w:tr>
    </w:tbl>
    <w:p>
      <w:pPr>
        <w:shd w:fill="1B2A4A" w:val="clear"/>
        <w:spacing w:after="6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3 — Let Claude work, then check in mid-task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Action: Claude works through the files. Priya doesn't wait for the final file — she checks in once execution is underway to correct direction early.</w:t>
      </w:r>
    </w:p>
    <w:tbl>
      <w:tblPr>
        <w:tblW w:type="dxa" w:w="10466"/>
        <w:tblBorders>
          <w:top w:val="single" w:color="C9A227" w:sz="4"/>
          <w:left w:val="single" w:color="C9A227" w:sz="24"/>
          <w:bottom w:val="single" w:color="C9A227" w:sz="4"/>
          <w:right w:val="single" w:color="C9A227" w:sz="4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F6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Prompt:</w:t>
            </w:r>
          </w:p>
          <w:p>
            <w:r>
              <w:rPr>
                <w:i/>
                <w:iCs/>
                <w:color w:val="13203A"/>
                <w:sz w:val="21"/>
                <w:szCs w:val="21"/>
              </w:rPr>
              <w:t xml:space="preserve">Pause before you finalise the EBITDA commentary. Cross-check the Opex variance against last quarter's actuals — I want to know if Logistics and Production are a one-off or a trend. Also, use the Word skill for the final report, not a plain text file.</w:t>
            </w:r>
          </w:p>
        </w:tc>
      </w:tr>
    </w:tbl>
    <w:p>
      <w:pPr>
        <w:shd w:fill="1B2A4A" w:val="clear"/>
        <w:spacing w:after="6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4 — Combine skills for a complete package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Action: Priya asks for a second, audit-friendly deliverable alongside the report — this is where Cowork combines more than one skill in the same task.</w:t>
      </w:r>
    </w:p>
    <w:tbl>
      <w:tblPr>
        <w:tblW w:type="dxa" w:w="10466"/>
        <w:tblBorders>
          <w:top w:val="single" w:color="C9A227" w:sz="4"/>
          <w:left w:val="single" w:color="C9A227" w:sz="24"/>
          <w:bottom w:val="single" w:color="C9A227" w:sz="4"/>
          <w:right w:val="single" w:color="C9A227" w:sz="4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F6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Prompt:</w:t>
            </w:r>
          </w:p>
          <w:p>
            <w:r>
              <w:rPr>
                <w:i/>
                <w:iCs/>
                <w:color w:val="13203A"/>
                <w:sz w:val="21"/>
                <w:szCs w:val="21"/>
              </w:rPr>
              <w:t xml:space="preserve">Also build a supporting Excel workbook with the variance calculations and the GST/TDS reconciliation workings as live formulas, not just values, so the audit team can trace every number in the report back to source.</w:t>
            </w:r>
          </w:p>
        </w:tc>
      </w:tr>
    </w:tbl>
    <w:p>
      <w:pPr>
        <w:shd w:fill="1B2A4A" w:val="clear"/>
        <w:spacing w:after="6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5 — Steer the tone before it goes to the board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Action: Claude's first draft of the AR ageing section reads as alarming. Priya steers the tone, not just the content — a reminder that review means more than checking numbers.</w:t>
      </w:r>
    </w:p>
    <w:tbl>
      <w:tblPr>
        <w:tblW w:type="dxa" w:w="10466"/>
        <w:tblBorders>
          <w:top w:val="single" w:color="C9A227" w:sz="4"/>
          <w:left w:val="single" w:color="C9A227" w:sz="24"/>
          <w:bottom w:val="single" w:color="C9A227" w:sz="4"/>
          <w:right w:val="single" w:color="C9A227" w:sz="4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F6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Prompt:</w:t>
            </w:r>
          </w:p>
          <w:p>
            <w:r>
              <w:rPr>
                <w:i/>
                <w:iCs/>
                <w:color w:val="13203A"/>
                <w:sz w:val="21"/>
                <w:szCs w:val="21"/>
              </w:rPr>
              <w:t xml:space="preserve">Tone down the AR ageing section — keep it factual, not alarming, this is going to the board. Add a one-line executive summary at the very top of the report before you finalise it.</w:t>
            </w:r>
          </w:p>
        </w:tc>
      </w:tr>
    </w:tbl>
    <w:p>
      <w:pPr>
        <w:shd w:fill="1B2A4A" w:val="clear"/>
        <w:spacing w:after="60" w:before="2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6 — Approve and export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Action: Once satisfied, Priya signs off and exports both files. Nothing goes out to the CFO until this explicit approval.</w:t>
      </w:r>
    </w:p>
    <w:tbl>
      <w:tblPr>
        <w:tblW w:type="dxa" w:w="10466"/>
        <w:tblBorders>
          <w:top w:val="single" w:color="C9A227" w:sz="4"/>
          <w:left w:val="single" w:color="C9A227" w:sz="24"/>
          <w:bottom w:val="single" w:color="C9A227" w:sz="4"/>
          <w:right w:val="single" w:color="C9A227" w:sz="4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F6EF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Prompt:</w:t>
            </w:r>
          </w:p>
          <w:p>
            <w:r>
              <w:rPr>
                <w:i/>
                <w:iCs/>
                <w:color w:val="13203A"/>
                <w:sz w:val="21"/>
                <w:szCs w:val="21"/>
              </w:rPr>
              <w:t xml:space="preserve">This is ready. Export the MIS report and the supporting workbook.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Expected Output — Sample MIS Pack Summary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Executive summary (as Claude Cowork would draft it): “Revenue was marginally ahead of budget (+0.6%) for Q2 FY27, but EBITDA margin compressed by 2.0 percentage points to 35.2% on Logistics and Production overspend. Kavya Industries accounts for 44% of ageing receivables and needs collections action. A GST/TDS reconciliation gap of ₹4.2 Lakh should be closed before the GSTR-3B filing deadline.”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Variance highlights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6"/>
        <w:gridCol w:w="2300"/>
        <w:gridCol w:w="2300"/>
        <w:gridCol w:w="2300"/>
      </w:tblGrid>
      <w:tr>
        <w:trPr>
          <w:tblHeader/>
        </w:trPr>
        <w:tc>
          <w:tcPr>
            <w:tcW w:type="dxa" w:w="3566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</w:tr>
      <w:tr>
        <w:tc>
          <w:tcPr>
            <w:tcW w:type="dxa" w:w="35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1,640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1,650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+10</w:t>
            </w:r>
          </w:p>
        </w:tc>
      </w:tr>
      <w:tr>
        <w:tc>
          <w:tcPr>
            <w:tcW w:type="dxa" w:w="3566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Operating expenses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1,030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1,070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+40</w:t>
            </w:r>
          </w:p>
        </w:tc>
      </w:tr>
      <w:tr>
        <w:tc>
          <w:tcPr>
            <w:tcW w:type="dxa" w:w="35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EBITDA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580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-30</w:t>
            </w:r>
          </w:p>
        </w:tc>
      </w:tr>
      <w:tr>
        <w:tc>
          <w:tcPr>
            <w:tcW w:type="dxa" w:w="3566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EBITDA margin</w:t>
            </w:r>
          </w:p>
        </w:tc>
        <w:tc>
          <w:tcPr>
            <w:tcW w:type="dxa" w:w="230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37.2%</w:t>
            </w:r>
          </w:p>
        </w:tc>
        <w:tc>
          <w:tcPr>
            <w:tcW w:type="dxa" w:w="230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35.2%</w:t>
            </w:r>
          </w:p>
        </w:tc>
        <w:tc>
          <w:tcPr>
            <w:tcW w:type="dxa" w:w="2300"/>
            <w:shd w:fill="F6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-2.0 pp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A4A"/>
          <w:sz w:val="25"/>
          <w:szCs w:val="25"/>
        </w:rPr>
        <w:t xml:space="preserve">Recommendations to the CFO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Prioritise collections at Kavya Industries — ₹37 Lakh is past 60 days; assign a follow-up owner before the next board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Investigate the Logistics and Production overspend (+₹25 Lakh each) against the Q1 trend before approving the Q3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Close the GST/TDS reconciliation gap — ₹4.2 Lakh of ITC at risk and ₹40,280 of TDS exposure — before the GSTR-3B filing deadline.</w:t>
      </w:r>
    </w:p>
    <w:p>
      <w:pPr>
        <w:spacing w:after="200"/>
      </w:pPr>
    </w:p>
    <w:p>
      <w:pPr>
        <w:pStyle w:val="Heading1"/>
        <w:pBdr>
          <w:bottom w:val="single" w:color="C9A227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Facilitator Notes &amp; Discussion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What made this task suited to Cowork rather than a single chat message?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At which checkpoint did steering change the outcome most — the plan review, the mid-task correction, or the tone edit?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What would go wrong if one of the five files had inconsistent figures, and how would you catch it before the pack reaches the board?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Where else in your own MIS or close cycle could a plan-review checkpoint save rework?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Which step showed Cowork combining more than one skill in a single task, and why does that matter for finance deliverables?</w:t>
      </w:r>
    </w:p>
    <w:p>
      <w:pPr>
        <w:spacing w:after="200"/>
      </w:pPr>
    </w:p>
    <w:p>
      <w:pPr>
        <w:pStyle w:val="Heading1"/>
        <w:pBdr>
          <w:bottom w:val="single" w:color="C9A227" w:sz="12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8. 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Cowork works best on tasks with several files and several dependent steps — not single-answer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State the objective and hand over the files; let Claude propose the sequence, then correct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Review-and-steer checkpoints — plan, mid-task, tone — matter more than one final review at the 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One delegated task can combine document generation, spreadsheet workings, and analysis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Judgement calls — like how a sensitive number is worded for the board — still need a human review before sign-off.</w:t>
      </w:r>
    </w:p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B2A4A"/>
        <w:sz w:val="14"/>
        <w:szCs w:val="14"/>
      </w:rPr>
      <w:t xml:space="preserve">Meridian Manufacturing Co. case study  ·  AI at Work: Practical Claude Skills  ·  Page </w:t>
    </w:r>
    <w:r>
      <w:rPr>
        <w:color w:val="1B2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9A227"/>
        <w:sz w:val="14"/>
        <w:szCs w:val="14"/>
      </w:rPr>
      <w:t xml:space="preserve">PEREPA EDU  ·  Claude Cowork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2026-09-21T22:49:12.496Z</dcterms:created>
  <dcterms:modified xsi:type="dcterms:W3CDTF">2026-09-21T22:49:12.496Z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