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A4317" w14:textId="77777777" w:rsidR="0070366E" w:rsidRDefault="00000000">
      <w:r>
        <w:t># AI-Assisted GST, TDS &amp; Compliance Documentation Workflows</w:t>
      </w:r>
    </w:p>
    <w:p w14:paraId="1F9CB495" w14:textId="77777777" w:rsidR="0070366E" w:rsidRDefault="00000000">
      <w:r>
        <w:t>### Training Manual</w:t>
      </w:r>
    </w:p>
    <w:p w14:paraId="786D6FA2" w14:textId="77777777" w:rsidR="0070366E" w:rsidRDefault="00000000">
      <w:r>
        <w:t>Prepared for: Finance &amp; Accounting Team Training</w:t>
      </w:r>
    </w:p>
    <w:p w14:paraId="19609483" w14:textId="77777777" w:rsidR="0070366E" w:rsidRDefault="00000000">
      <w:r>
        <w:t>Date: June 2026</w:t>
      </w:r>
    </w:p>
    <w:p w14:paraId="67BBC506" w14:textId="77777777" w:rsidR="0070366E" w:rsidRDefault="00000000">
      <w:r>
        <w:t>## 1. Purpose &amp; Scope</w:t>
      </w:r>
    </w:p>
    <w:p w14:paraId="091A2B18" w14:textId="77777777" w:rsidR="0070366E" w:rsidRDefault="00000000">
      <w:r>
        <w:t>This manual trains finance and accounting staff to use AI tools responsibly and effectively inside GST, TDS, and general statutory compliance documentation workflows. It covers what AI can safely automate, where a human reviewer must stay in control, and how to document the work so it survives an audit.</w:t>
      </w:r>
    </w:p>
    <w:p w14:paraId="4BF3E666" w14:textId="77777777" w:rsidR="0070366E" w:rsidRDefault="0070366E"/>
    <w:p w14:paraId="66DAB71C" w14:textId="77777777" w:rsidR="0070366E" w:rsidRDefault="00000000">
      <w:r>
        <w:t>The session has three parts:</w:t>
      </w:r>
    </w:p>
    <w:p w14:paraId="6FAFA820" w14:textId="77777777" w:rsidR="0070366E" w:rsidRDefault="0070366E"/>
    <w:p w14:paraId="40D1D69A" w14:textId="77777777" w:rsidR="0070366E" w:rsidRDefault="00000000">
      <w:r>
        <w:t>1. Concepts — how AI fits into each compliance workflow and why.</w:t>
      </w:r>
    </w:p>
    <w:p w14:paraId="4D2298E7" w14:textId="77777777" w:rsidR="0070366E" w:rsidRDefault="00000000">
      <w:r>
        <w:t>2. Step-by-step workflows — GST, TDS, and general compliance documentation, each with an AI-assisted process map and sample prompts.</w:t>
      </w:r>
    </w:p>
    <w:p w14:paraId="4350B048" w14:textId="77777777" w:rsidR="0070366E" w:rsidRDefault="00000000">
      <w:r>
        <w:t>3. Hands-on practice — three exercises using the accompanying practice files.</w:t>
      </w:r>
    </w:p>
    <w:p w14:paraId="0987963F" w14:textId="77777777" w:rsidR="0070366E" w:rsidRDefault="0070366E"/>
    <w:p w14:paraId="319BAB6E" w14:textId="77777777" w:rsidR="0070366E" w:rsidRDefault="00000000">
      <w:r>
        <w:t>**Important note on currency of rules:** GST and TDS rules change frequently through CBIC/CBDT notifications. This manual reflects the rules in force as of June 2026, including the Income-tax Act, 2025 changes effective 1 April 2026 (new TDS section and form numbers). Always verify the current rate/threshold/due date against the GST and Income Tax e-filing portals before relying on it for a real filing.</w:t>
      </w:r>
    </w:p>
    <w:p w14:paraId="3C0C6BCF" w14:textId="77777777" w:rsidR="0070366E" w:rsidRDefault="0070366E"/>
    <w:p w14:paraId="4390BDAA" w14:textId="77777777" w:rsidR="0070366E" w:rsidRDefault="00000000">
      <w:r>
        <w:t>---</w:t>
      </w:r>
    </w:p>
    <w:p w14:paraId="22C8F7F4" w14:textId="77777777" w:rsidR="0070366E" w:rsidRDefault="0070366E"/>
    <w:p w14:paraId="12DD1346" w14:textId="77777777" w:rsidR="0070366E" w:rsidRDefault="00000000">
      <w:r>
        <w:t>## 2. Why AI in Tax Compliance Documentation</w:t>
      </w:r>
    </w:p>
    <w:p w14:paraId="463930C8" w14:textId="77777777" w:rsidR="0070366E" w:rsidRDefault="0070366E"/>
    <w:p w14:paraId="1B114605" w14:textId="77777777" w:rsidR="0070366E" w:rsidRDefault="00000000">
      <w:r>
        <w:t xml:space="preserve">Tax compliance work is high-volume, rule-heavy, and repetitive in exactly the ways AI assists well: reading and structuring documents, matching records against each other, spotting numeric inconsistencies, and drafting first versions of standard write-ups. None of </w:t>
      </w:r>
      <w:r>
        <w:lastRenderedPageBreak/>
        <w:t>this changes who is accountable — the preparer and reviewer remain responsible for what gets filed.</w:t>
      </w:r>
    </w:p>
    <w:p w14:paraId="00B7EDBC" w14:textId="77777777" w:rsidR="0070366E" w:rsidRDefault="0070366E"/>
    <w:p w14:paraId="2B27F674" w14:textId="77777777" w:rsidR="0070366E" w:rsidRDefault="00000000">
      <w:r>
        <w:t>Typical uses already in production at Indian tax/accounting platforms (ClearTax, EZTax, and others) include:</w:t>
      </w:r>
    </w:p>
    <w:p w14:paraId="3726799D" w14:textId="77777777" w:rsidR="0070366E" w:rsidRDefault="0070366E"/>
    <w:p w14:paraId="5A144739" w14:textId="77777777" w:rsidR="0070366E" w:rsidRDefault="00000000">
      <w:r>
        <w:t>- Extracting structured data from invoices and bills (OCR + classification)</w:t>
      </w:r>
    </w:p>
    <w:p w14:paraId="56FD4D4B" w14:textId="77777777" w:rsidR="0070366E" w:rsidRDefault="00000000">
      <w:r>
        <w:t>- Reconciling GSTR-2B against the purchase register and grouping mismatches by likely cause</w:t>
      </w:r>
    </w:p>
    <w:p w14:paraId="4E8B0C30" w14:textId="77777777" w:rsidR="0070366E" w:rsidRDefault="00000000">
      <w:r>
        <w:t>- Classifying vendor payments to the correct TDS section and flagging short or non-deduction</w:t>
      </w:r>
    </w:p>
    <w:p w14:paraId="475F7464" w14:textId="77777777" w:rsidR="0070366E" w:rsidRDefault="00000000">
      <w:r>
        <w:t>- Drafting reconciliation summaries, compliance notes, and first-draft replies to notices</w:t>
      </w:r>
    </w:p>
    <w:p w14:paraId="3400E9D5" w14:textId="77777777" w:rsidR="0070366E" w:rsidRDefault="00000000">
      <w:r>
        <w:t>- Detecting anomalies (duplicate invoices, GSTIN errors, rate mismatches, missed thresholds)</w:t>
      </w:r>
    </w:p>
    <w:p w14:paraId="2217717D" w14:textId="77777777" w:rsidR="0070366E" w:rsidRDefault="0070366E"/>
    <w:p w14:paraId="78698B78" w14:textId="77777777" w:rsidR="0070366E" w:rsidRDefault="00000000">
      <w:r>
        <w:t>Industry estimates cited by tax-tech vendors put turnaround-time reduction from AI-assisted drafting at up to ~70% for routine reconciliation and notice-response work — but only when paired with mandatory human review, which is the standard this manual teaches.</w:t>
      </w:r>
    </w:p>
    <w:p w14:paraId="04186A3E" w14:textId="77777777" w:rsidR="0070366E" w:rsidRDefault="0070366E"/>
    <w:p w14:paraId="37B07283" w14:textId="77777777" w:rsidR="0070366E" w:rsidRDefault="00000000">
      <w:r>
        <w:t>---</w:t>
      </w:r>
    </w:p>
    <w:p w14:paraId="0725E8F4" w14:textId="77777777" w:rsidR="0070366E" w:rsidRDefault="0070366E"/>
    <w:p w14:paraId="5466988E" w14:textId="77777777" w:rsidR="0070366E" w:rsidRDefault="00000000">
      <w:r>
        <w:t>## 3. Module A — AI-Assisted GST Workflow</w:t>
      </w:r>
    </w:p>
    <w:p w14:paraId="7EF75719" w14:textId="77777777" w:rsidR="0070366E" w:rsidRDefault="0070366E"/>
    <w:p w14:paraId="71D56047" w14:textId="77777777" w:rsidR="0070366E" w:rsidRDefault="00000000">
      <w:r>
        <w:t>### 3.1 Current GST return landscape (reference)</w:t>
      </w:r>
    </w:p>
    <w:p w14:paraId="21DB69EC" w14:textId="77777777" w:rsidR="0070366E" w:rsidRDefault="0070366E"/>
    <w:tbl>
      <w:tblPr>
        <w:tblStyle w:val="GridTable4-Accent1"/>
        <w:tblW w:w="5000" w:type="pct"/>
        <w:tblLook w:val="04A0" w:firstRow="1" w:lastRow="0" w:firstColumn="1" w:lastColumn="0" w:noHBand="0" w:noVBand="1"/>
      </w:tblPr>
      <w:tblGrid>
        <w:gridCol w:w="1383"/>
        <w:gridCol w:w="1571"/>
        <w:gridCol w:w="1899"/>
        <w:gridCol w:w="4003"/>
      </w:tblGrid>
      <w:tr w:rsidR="00924985" w14:paraId="1C0DD5CE" w14:textId="77777777" w:rsidTr="009249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pct"/>
            <w:tcBorders>
              <w:top w:val="outset" w:sz="6" w:space="0" w:color="auto"/>
              <w:left w:val="outset" w:sz="6" w:space="0" w:color="auto"/>
              <w:bottom w:val="outset" w:sz="6" w:space="0" w:color="auto"/>
              <w:right w:val="outset" w:sz="6" w:space="0" w:color="auto"/>
            </w:tcBorders>
            <w:vAlign w:val="center"/>
            <w:hideMark/>
          </w:tcPr>
          <w:p w14:paraId="2EC2DF74" w14:textId="77777777" w:rsidR="00924985" w:rsidRPr="00924985" w:rsidRDefault="00924985">
            <w:pPr>
              <w:rPr>
                <w:color w:val="auto"/>
                <w:kern w:val="2"/>
                <w:lang w:val="en-IN" w:eastAsia="zh-CN" w:bidi="te-IN"/>
                <w14:ligatures w14:val="standardContextual"/>
              </w:rPr>
            </w:pPr>
            <w:r w:rsidRPr="00924985">
              <w:rPr>
                <w:b w:val="0"/>
                <w:bCs w:val="0"/>
                <w:color w:val="auto"/>
              </w:rPr>
              <w:t>Return</w:t>
            </w:r>
          </w:p>
        </w:tc>
        <w:tc>
          <w:tcPr>
            <w:tcW w:w="887" w:type="pct"/>
            <w:tcBorders>
              <w:top w:val="outset" w:sz="6" w:space="0" w:color="auto"/>
              <w:left w:val="outset" w:sz="6" w:space="0" w:color="auto"/>
              <w:bottom w:val="outset" w:sz="6" w:space="0" w:color="auto"/>
              <w:right w:val="outset" w:sz="6" w:space="0" w:color="auto"/>
            </w:tcBorders>
            <w:vAlign w:val="center"/>
            <w:hideMark/>
          </w:tcPr>
          <w:p w14:paraId="050341AE" w14:textId="77777777" w:rsidR="00924985" w:rsidRPr="00924985" w:rsidRDefault="00924985">
            <w:pPr>
              <w:cnfStyle w:val="100000000000" w:firstRow="1" w:lastRow="0" w:firstColumn="0" w:lastColumn="0" w:oddVBand="0" w:evenVBand="0" w:oddHBand="0" w:evenHBand="0" w:firstRowFirstColumn="0" w:firstRowLastColumn="0" w:lastRowFirstColumn="0" w:lastRowLastColumn="0"/>
              <w:rPr>
                <w:color w:val="auto"/>
              </w:rPr>
            </w:pPr>
            <w:r w:rsidRPr="00924985">
              <w:rPr>
                <w:b w:val="0"/>
                <w:bCs w:val="0"/>
                <w:color w:val="auto"/>
              </w:rPr>
              <w:t>Purpose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8FB7033" w14:textId="77777777" w:rsidR="00924985" w:rsidRPr="00924985" w:rsidRDefault="00924985">
            <w:pPr>
              <w:cnfStyle w:val="100000000000" w:firstRow="1" w:lastRow="0" w:firstColumn="0" w:lastColumn="0" w:oddVBand="0" w:evenVBand="0" w:oddHBand="0" w:evenHBand="0" w:firstRowFirstColumn="0" w:firstRowLastColumn="0" w:lastRowFirstColumn="0" w:lastRowLastColumn="0"/>
              <w:rPr>
                <w:color w:val="auto"/>
              </w:rPr>
            </w:pPr>
            <w:r w:rsidRPr="00924985">
              <w:rPr>
                <w:b w:val="0"/>
                <w:bCs w:val="0"/>
                <w:color w:val="auto"/>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10C3304" w14:textId="77777777" w:rsidR="00924985" w:rsidRPr="00924985" w:rsidRDefault="00924985">
            <w:pPr>
              <w:cnfStyle w:val="100000000000" w:firstRow="1" w:lastRow="0" w:firstColumn="0" w:lastColumn="0" w:oddVBand="0" w:evenVBand="0" w:oddHBand="0" w:evenHBand="0" w:firstRowFirstColumn="0" w:firstRowLastColumn="0" w:lastRowFirstColumn="0" w:lastRowLastColumn="0"/>
              <w:rPr>
                <w:color w:val="auto"/>
              </w:rPr>
            </w:pPr>
            <w:r w:rsidRPr="00924985">
              <w:rPr>
                <w:b w:val="0"/>
                <w:bCs w:val="0"/>
                <w:color w:val="auto"/>
              </w:rPr>
              <w:t>Due date</w:t>
            </w:r>
          </w:p>
        </w:tc>
      </w:tr>
      <w:tr w:rsidR="00924985" w14:paraId="098C7901" w14:textId="77777777" w:rsidTr="00924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pct"/>
            <w:tcBorders>
              <w:top w:val="outset" w:sz="6" w:space="0" w:color="auto"/>
              <w:left w:val="outset" w:sz="6" w:space="0" w:color="auto"/>
              <w:bottom w:val="outset" w:sz="6" w:space="0" w:color="auto"/>
              <w:right w:val="outset" w:sz="6" w:space="0" w:color="auto"/>
            </w:tcBorders>
            <w:vAlign w:val="center"/>
            <w:hideMark/>
          </w:tcPr>
          <w:p w14:paraId="59CFFFE6" w14:textId="77777777" w:rsidR="00924985" w:rsidRPr="00924985" w:rsidRDefault="00924985">
            <w:r w:rsidRPr="00924985">
              <w:t>GSTR-1</w:t>
            </w:r>
          </w:p>
        </w:tc>
        <w:tc>
          <w:tcPr>
            <w:tcW w:w="887" w:type="pct"/>
            <w:tcBorders>
              <w:top w:val="outset" w:sz="6" w:space="0" w:color="auto"/>
              <w:left w:val="outset" w:sz="6" w:space="0" w:color="auto"/>
              <w:bottom w:val="outset" w:sz="6" w:space="0" w:color="auto"/>
              <w:right w:val="outset" w:sz="6" w:space="0" w:color="auto"/>
            </w:tcBorders>
            <w:vAlign w:val="center"/>
            <w:hideMark/>
          </w:tcPr>
          <w:p w14:paraId="1B990003" w14:textId="77777777" w:rsidR="00924985" w:rsidRPr="00924985" w:rsidRDefault="00924985">
            <w:pPr>
              <w:cnfStyle w:val="000000100000" w:firstRow="0" w:lastRow="0" w:firstColumn="0" w:lastColumn="0" w:oddVBand="0" w:evenVBand="0" w:oddHBand="1" w:evenHBand="0" w:firstRowFirstColumn="0" w:firstRowLastColumn="0" w:lastRowFirstColumn="0" w:lastRowLastColumn="0"/>
            </w:pPr>
            <w:r w:rsidRPr="00924985">
              <w:t>Outward supplies (sales)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22451" w14:textId="77777777" w:rsidR="00924985" w:rsidRPr="00924985" w:rsidRDefault="00924985">
            <w:pPr>
              <w:cnfStyle w:val="000000100000" w:firstRow="0" w:lastRow="0" w:firstColumn="0" w:lastColumn="0" w:oddVBand="0" w:evenVBand="0" w:oddHBand="1" w:evenHBand="0" w:firstRowFirstColumn="0" w:firstRowLastColumn="0" w:lastRowFirstColumn="0" w:lastRowLastColumn="0"/>
            </w:pPr>
            <w:r w:rsidRPr="00924985">
              <w:t>Monthly / Quarterly (QRMP)</w:t>
            </w:r>
          </w:p>
        </w:tc>
        <w:tc>
          <w:tcPr>
            <w:tcW w:w="0" w:type="auto"/>
            <w:tcBorders>
              <w:top w:val="outset" w:sz="6" w:space="0" w:color="auto"/>
              <w:left w:val="outset" w:sz="6" w:space="0" w:color="auto"/>
              <w:bottom w:val="outset" w:sz="6" w:space="0" w:color="auto"/>
              <w:right w:val="outset" w:sz="6" w:space="0" w:color="auto"/>
            </w:tcBorders>
            <w:vAlign w:val="center"/>
            <w:hideMark/>
          </w:tcPr>
          <w:p w14:paraId="02581E3B" w14:textId="77777777" w:rsidR="00924985" w:rsidRPr="00924985" w:rsidRDefault="00924985">
            <w:pPr>
              <w:cnfStyle w:val="000000100000" w:firstRow="0" w:lastRow="0" w:firstColumn="0" w:lastColumn="0" w:oddVBand="0" w:evenVBand="0" w:oddHBand="1" w:evenHBand="0" w:firstRowFirstColumn="0" w:firstRowLastColumn="0" w:lastRowFirstColumn="0" w:lastRowLastColumn="0"/>
            </w:pPr>
            <w:r w:rsidRPr="00924985">
              <w:t>11th of next month (monthly); 13th after quarter-end (QRMP)</w:t>
            </w:r>
          </w:p>
        </w:tc>
      </w:tr>
      <w:tr w:rsidR="00924985" w14:paraId="211AE2E8" w14:textId="77777777" w:rsidTr="00924985">
        <w:tc>
          <w:tcPr>
            <w:cnfStyle w:val="001000000000" w:firstRow="0" w:lastRow="0" w:firstColumn="1" w:lastColumn="0" w:oddVBand="0" w:evenVBand="0" w:oddHBand="0" w:evenHBand="0" w:firstRowFirstColumn="0" w:firstRowLastColumn="0" w:lastRowFirstColumn="0" w:lastRowLastColumn="0"/>
            <w:tcW w:w="781" w:type="pct"/>
            <w:tcBorders>
              <w:top w:val="outset" w:sz="6" w:space="0" w:color="auto"/>
              <w:left w:val="outset" w:sz="6" w:space="0" w:color="auto"/>
              <w:bottom w:val="outset" w:sz="6" w:space="0" w:color="auto"/>
              <w:right w:val="outset" w:sz="6" w:space="0" w:color="auto"/>
            </w:tcBorders>
            <w:vAlign w:val="center"/>
            <w:hideMark/>
          </w:tcPr>
          <w:p w14:paraId="6D0ADE59" w14:textId="77777777" w:rsidR="00924985" w:rsidRPr="00924985" w:rsidRDefault="00924985">
            <w:r w:rsidRPr="00924985">
              <w:t>GSTR-3B</w:t>
            </w:r>
          </w:p>
        </w:tc>
        <w:tc>
          <w:tcPr>
            <w:tcW w:w="887" w:type="pct"/>
            <w:tcBorders>
              <w:top w:val="outset" w:sz="6" w:space="0" w:color="auto"/>
              <w:left w:val="outset" w:sz="6" w:space="0" w:color="auto"/>
              <w:bottom w:val="outset" w:sz="6" w:space="0" w:color="auto"/>
              <w:right w:val="outset" w:sz="6" w:space="0" w:color="auto"/>
            </w:tcBorders>
            <w:vAlign w:val="center"/>
            <w:hideMark/>
          </w:tcPr>
          <w:p w14:paraId="5500FC00" w14:textId="77777777" w:rsidR="00924985" w:rsidRPr="00924985" w:rsidRDefault="00924985">
            <w:pPr>
              <w:cnfStyle w:val="000000000000" w:firstRow="0" w:lastRow="0" w:firstColumn="0" w:lastColumn="0" w:oddVBand="0" w:evenVBand="0" w:oddHBand="0" w:evenHBand="0" w:firstRowFirstColumn="0" w:firstRowLastColumn="0" w:lastRowFirstColumn="0" w:lastRowLastColumn="0"/>
            </w:pPr>
            <w:r w:rsidRPr="00924985">
              <w:t xml:space="preserve">Summary return — tax </w:t>
            </w:r>
            <w:r w:rsidRPr="00924985">
              <w:lastRenderedPageBreak/>
              <w:t>liability &amp; ITC</w:t>
            </w:r>
          </w:p>
        </w:tc>
        <w:tc>
          <w:tcPr>
            <w:tcW w:w="0" w:type="auto"/>
            <w:tcBorders>
              <w:top w:val="outset" w:sz="6" w:space="0" w:color="auto"/>
              <w:left w:val="outset" w:sz="6" w:space="0" w:color="auto"/>
              <w:bottom w:val="outset" w:sz="6" w:space="0" w:color="auto"/>
              <w:right w:val="outset" w:sz="6" w:space="0" w:color="auto"/>
            </w:tcBorders>
            <w:vAlign w:val="center"/>
            <w:hideMark/>
          </w:tcPr>
          <w:p w14:paraId="21D06A7D" w14:textId="77777777" w:rsidR="00924985" w:rsidRPr="00924985" w:rsidRDefault="00924985">
            <w:pPr>
              <w:cnfStyle w:val="000000000000" w:firstRow="0" w:lastRow="0" w:firstColumn="0" w:lastColumn="0" w:oddVBand="0" w:evenVBand="0" w:oddHBand="0" w:evenHBand="0" w:firstRowFirstColumn="0" w:firstRowLastColumn="0" w:lastRowFirstColumn="0" w:lastRowLastColumn="0"/>
            </w:pPr>
            <w:r w:rsidRPr="00924985">
              <w:lastRenderedPageBreak/>
              <w:t xml:space="preserve">Monthly / Quarterly </w:t>
            </w:r>
            <w:r w:rsidRPr="00924985">
              <w:lastRenderedPageBreak/>
              <w:t>(QRMP)</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1F2C2" w14:textId="77777777" w:rsidR="00924985" w:rsidRPr="00924985" w:rsidRDefault="00924985">
            <w:pPr>
              <w:cnfStyle w:val="000000000000" w:firstRow="0" w:lastRow="0" w:firstColumn="0" w:lastColumn="0" w:oddVBand="0" w:evenVBand="0" w:oddHBand="0" w:evenHBand="0" w:firstRowFirstColumn="0" w:firstRowLastColumn="0" w:lastRowFirstColumn="0" w:lastRowLastColumn="0"/>
            </w:pPr>
            <w:r w:rsidRPr="00924985">
              <w:lastRenderedPageBreak/>
              <w:t xml:space="preserve">20th of next month (monthly); 22nd/24th after quarter-end depending </w:t>
            </w:r>
            <w:r w:rsidRPr="00924985">
              <w:lastRenderedPageBreak/>
              <w:t>on state category (QRMP)</w:t>
            </w:r>
          </w:p>
        </w:tc>
      </w:tr>
      <w:tr w:rsidR="00924985" w14:paraId="77C1C246" w14:textId="77777777" w:rsidTr="00924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pct"/>
            <w:tcBorders>
              <w:top w:val="outset" w:sz="6" w:space="0" w:color="auto"/>
              <w:left w:val="outset" w:sz="6" w:space="0" w:color="auto"/>
              <w:bottom w:val="outset" w:sz="6" w:space="0" w:color="auto"/>
              <w:right w:val="outset" w:sz="6" w:space="0" w:color="auto"/>
            </w:tcBorders>
            <w:vAlign w:val="center"/>
            <w:hideMark/>
          </w:tcPr>
          <w:p w14:paraId="1F7F9D60" w14:textId="77777777" w:rsidR="00924985" w:rsidRPr="00924985" w:rsidRDefault="00924985">
            <w:r w:rsidRPr="00924985">
              <w:lastRenderedPageBreak/>
              <w:t>PMT-06</w:t>
            </w:r>
          </w:p>
        </w:tc>
        <w:tc>
          <w:tcPr>
            <w:tcW w:w="887" w:type="pct"/>
            <w:tcBorders>
              <w:top w:val="outset" w:sz="6" w:space="0" w:color="auto"/>
              <w:left w:val="outset" w:sz="6" w:space="0" w:color="auto"/>
              <w:bottom w:val="outset" w:sz="6" w:space="0" w:color="auto"/>
              <w:right w:val="outset" w:sz="6" w:space="0" w:color="auto"/>
            </w:tcBorders>
            <w:vAlign w:val="center"/>
            <w:hideMark/>
          </w:tcPr>
          <w:p w14:paraId="7DC51D19" w14:textId="77777777" w:rsidR="00924985" w:rsidRPr="00924985" w:rsidRDefault="00924985">
            <w:pPr>
              <w:cnfStyle w:val="000000100000" w:firstRow="0" w:lastRow="0" w:firstColumn="0" w:lastColumn="0" w:oddVBand="0" w:evenVBand="0" w:oddHBand="1" w:evenHBand="0" w:firstRowFirstColumn="0" w:firstRowLastColumn="0" w:lastRowFirstColumn="0" w:lastRowLastColumn="0"/>
            </w:pPr>
            <w:r w:rsidRPr="00924985">
              <w:t>Monthly tax payment under QRMP</w:t>
            </w:r>
          </w:p>
        </w:tc>
        <w:tc>
          <w:tcPr>
            <w:tcW w:w="0" w:type="auto"/>
            <w:tcBorders>
              <w:top w:val="outset" w:sz="6" w:space="0" w:color="auto"/>
              <w:left w:val="outset" w:sz="6" w:space="0" w:color="auto"/>
              <w:bottom w:val="outset" w:sz="6" w:space="0" w:color="auto"/>
              <w:right w:val="outset" w:sz="6" w:space="0" w:color="auto"/>
            </w:tcBorders>
            <w:vAlign w:val="center"/>
            <w:hideMark/>
          </w:tcPr>
          <w:p w14:paraId="0DFA5540" w14:textId="77777777" w:rsidR="00924985" w:rsidRPr="00924985" w:rsidRDefault="00924985">
            <w:pPr>
              <w:cnfStyle w:val="000000100000" w:firstRow="0" w:lastRow="0" w:firstColumn="0" w:lastColumn="0" w:oddVBand="0" w:evenVBand="0" w:oddHBand="1" w:evenHBand="0" w:firstRowFirstColumn="0" w:firstRowLastColumn="0" w:lastRowFirstColumn="0" w:lastRowLastColumn="0"/>
            </w:pPr>
            <w:r w:rsidRPr="00924985">
              <w:t>Monthly (QRMP taxpayers only)</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533D1" w14:textId="77777777" w:rsidR="00924985" w:rsidRPr="00924985" w:rsidRDefault="00924985">
            <w:pPr>
              <w:cnfStyle w:val="000000100000" w:firstRow="0" w:lastRow="0" w:firstColumn="0" w:lastColumn="0" w:oddVBand="0" w:evenVBand="0" w:oddHBand="1" w:evenHBand="0" w:firstRowFirstColumn="0" w:firstRowLastColumn="0" w:lastRowFirstColumn="0" w:lastRowLastColumn="0"/>
            </w:pPr>
            <w:r w:rsidRPr="00924985">
              <w:t>25th of each month</w:t>
            </w:r>
          </w:p>
        </w:tc>
      </w:tr>
      <w:tr w:rsidR="00924985" w14:paraId="4E2ACE4B" w14:textId="77777777" w:rsidTr="00924985">
        <w:tc>
          <w:tcPr>
            <w:cnfStyle w:val="001000000000" w:firstRow="0" w:lastRow="0" w:firstColumn="1" w:lastColumn="0" w:oddVBand="0" w:evenVBand="0" w:oddHBand="0" w:evenHBand="0" w:firstRowFirstColumn="0" w:firstRowLastColumn="0" w:lastRowFirstColumn="0" w:lastRowLastColumn="0"/>
            <w:tcW w:w="781" w:type="pct"/>
            <w:tcBorders>
              <w:top w:val="outset" w:sz="6" w:space="0" w:color="auto"/>
              <w:left w:val="outset" w:sz="6" w:space="0" w:color="auto"/>
              <w:bottom w:val="outset" w:sz="6" w:space="0" w:color="auto"/>
              <w:right w:val="outset" w:sz="6" w:space="0" w:color="auto"/>
            </w:tcBorders>
            <w:vAlign w:val="center"/>
            <w:hideMark/>
          </w:tcPr>
          <w:p w14:paraId="5F46E01A" w14:textId="77777777" w:rsidR="00924985" w:rsidRPr="00924985" w:rsidRDefault="00924985">
            <w:r w:rsidRPr="00924985">
              <w:t>GSTR-9</w:t>
            </w:r>
          </w:p>
        </w:tc>
        <w:tc>
          <w:tcPr>
            <w:tcW w:w="887" w:type="pct"/>
            <w:tcBorders>
              <w:top w:val="outset" w:sz="6" w:space="0" w:color="auto"/>
              <w:left w:val="outset" w:sz="6" w:space="0" w:color="auto"/>
              <w:bottom w:val="outset" w:sz="6" w:space="0" w:color="auto"/>
              <w:right w:val="outset" w:sz="6" w:space="0" w:color="auto"/>
            </w:tcBorders>
            <w:vAlign w:val="center"/>
            <w:hideMark/>
          </w:tcPr>
          <w:p w14:paraId="3D103C35" w14:textId="77777777" w:rsidR="00924985" w:rsidRPr="00924985" w:rsidRDefault="00924985">
            <w:pPr>
              <w:cnfStyle w:val="000000000000" w:firstRow="0" w:lastRow="0" w:firstColumn="0" w:lastColumn="0" w:oddVBand="0" w:evenVBand="0" w:oddHBand="0" w:evenHBand="0" w:firstRowFirstColumn="0" w:firstRowLastColumn="0" w:lastRowFirstColumn="0" w:lastRowLastColumn="0"/>
            </w:pPr>
            <w:r w:rsidRPr="00924985">
              <w:t>Annual return</w:t>
            </w:r>
          </w:p>
        </w:tc>
        <w:tc>
          <w:tcPr>
            <w:tcW w:w="0" w:type="auto"/>
            <w:tcBorders>
              <w:top w:val="outset" w:sz="6" w:space="0" w:color="auto"/>
              <w:left w:val="outset" w:sz="6" w:space="0" w:color="auto"/>
              <w:bottom w:val="outset" w:sz="6" w:space="0" w:color="auto"/>
              <w:right w:val="outset" w:sz="6" w:space="0" w:color="auto"/>
            </w:tcBorders>
            <w:vAlign w:val="center"/>
            <w:hideMark/>
          </w:tcPr>
          <w:p w14:paraId="32E29346" w14:textId="77777777" w:rsidR="00924985" w:rsidRPr="00924985" w:rsidRDefault="00924985">
            <w:pPr>
              <w:cnfStyle w:val="000000000000" w:firstRow="0" w:lastRow="0" w:firstColumn="0" w:lastColumn="0" w:oddVBand="0" w:evenVBand="0" w:oddHBand="0" w:evenHBand="0" w:firstRowFirstColumn="0" w:firstRowLastColumn="0" w:lastRowFirstColumn="0" w:lastRowLastColumn="0"/>
            </w:pPr>
            <w:r w:rsidRPr="00924985">
              <w:t>Annually</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8ABFD" w14:textId="77777777" w:rsidR="00924985" w:rsidRPr="00924985" w:rsidRDefault="00924985">
            <w:pPr>
              <w:cnfStyle w:val="000000000000" w:firstRow="0" w:lastRow="0" w:firstColumn="0" w:lastColumn="0" w:oddVBand="0" w:evenVBand="0" w:oddHBand="0" w:evenHBand="0" w:firstRowFirstColumn="0" w:firstRowLastColumn="0" w:lastRowFirstColumn="0" w:lastRowLastColumn="0"/>
            </w:pPr>
            <w:r w:rsidRPr="00924985">
              <w:t>31 December following the financial year-end</w:t>
            </w:r>
          </w:p>
        </w:tc>
      </w:tr>
    </w:tbl>
    <w:p w14:paraId="3437EFD9" w14:textId="77777777" w:rsidR="0070366E" w:rsidRDefault="0070366E"/>
    <w:p w14:paraId="60F92AC7" w14:textId="77777777" w:rsidR="0070366E" w:rsidRDefault="00000000">
      <w:r>
        <w:t>Late filing penalty: ₹50/day (capped at ₹5,000) plus 18% p.a. interest on tax due, in addition to late fee under GSTR-3B rules. Verify current figures on the GST portal before advising clients, as late fee caps are revised periodically.</w:t>
      </w:r>
    </w:p>
    <w:p w14:paraId="51EAF10E" w14:textId="77777777" w:rsidR="0070366E" w:rsidRDefault="0070366E"/>
    <w:p w14:paraId="3D2E7AFB" w14:textId="77777777" w:rsidR="0070366E" w:rsidRDefault="00000000">
      <w:r>
        <w:t>### 3.2 AI-assisted GST documentation workflow (step-by-step)</w:t>
      </w:r>
    </w:p>
    <w:p w14:paraId="3B30C14E" w14:textId="77777777" w:rsidR="0070366E" w:rsidRDefault="0070366E"/>
    <w:p w14:paraId="5874AA2C" w14:textId="77777777" w:rsidR="0070366E" w:rsidRDefault="00000000">
      <w:r>
        <w:t>1. **Capture** — AI/OCR tool extracts invoice number, date, GSTIN, taxable value, tax rate, and HSN/SAC code from scanned or PDF invoices into a structured register.</w:t>
      </w:r>
    </w:p>
    <w:p w14:paraId="0EB135DA" w14:textId="77777777" w:rsidR="0070366E" w:rsidRDefault="00000000">
      <w:r>
        <w:t>2. **Validate** — AI checks GSTIN format/checksum, HSN-to-rate consistency, and flags invoices with missing or malformed fields.</w:t>
      </w:r>
    </w:p>
    <w:p w14:paraId="3F6B93D5" w14:textId="77777777" w:rsidR="0070366E" w:rsidRDefault="00000000">
      <w:r>
        <w:t>3. **Reconcile** — AI matches the purchase register against GSTR-2B (auto-drafted ITC statement) line by line, and groups mismatches into categories: timing difference, rounding difference, GSTIN entry error, or genuine discrepancy.</w:t>
      </w:r>
    </w:p>
    <w:p w14:paraId="1D132F98" w14:textId="77777777" w:rsidR="0070366E" w:rsidRDefault="00000000">
      <w:r>
        <w:t>4. **Draft** — AI generates a reconciliation summary (mismatch count, ₹ value at risk, suggested follow-up per vendor) and a first draft of the GSTR-3B working file.</w:t>
      </w:r>
    </w:p>
    <w:p w14:paraId="04158C33" w14:textId="77777777" w:rsidR="0070366E" w:rsidRDefault="00000000">
      <w:r>
        <w:t>5. **Human review** — Preparer reviews the AI-flagged mismatches against source documents, corrects misclassifications, and signs off on the working file. This step is mandatory and must be documented (reviewer name, date, items overridden).</w:t>
      </w:r>
    </w:p>
    <w:p w14:paraId="49B039EC" w14:textId="77777777" w:rsidR="0070366E" w:rsidRDefault="00000000">
      <w:r>
        <w:t>6. **File &amp; archive** — Authorized signatory files the return on the GST portal; the AI-assisted working papers (extraction log, reconciliation report, reviewer sign-off) are archived as part of the audit trail.</w:t>
      </w:r>
    </w:p>
    <w:p w14:paraId="08AAF1D2" w14:textId="77777777" w:rsidR="0070366E" w:rsidRDefault="0070366E"/>
    <w:p w14:paraId="210BCC06" w14:textId="77777777" w:rsidR="0070366E" w:rsidRDefault="00000000">
      <w:r>
        <w:t>### 3.3 Sample AI prompts — GST</w:t>
      </w:r>
    </w:p>
    <w:p w14:paraId="5C9EC7A3" w14:textId="77777777" w:rsidR="0070366E" w:rsidRDefault="0070366E"/>
    <w:p w14:paraId="525DA0AA" w14:textId="77777777" w:rsidR="0070366E" w:rsidRDefault="00000000">
      <w:r>
        <w:t>&gt; "Extract invoice number, date, GSTIN, taxable value, CGST/SGST/IGST amount, and HSN code from this invoice image/PDF into a table. Flag any field you could not read with confidence below 90%."</w:t>
      </w:r>
    </w:p>
    <w:p w14:paraId="6CE97B89" w14:textId="77777777" w:rsidR="0070366E" w:rsidRDefault="0070366E"/>
    <w:p w14:paraId="5435388B" w14:textId="77777777" w:rsidR="0070366E" w:rsidRDefault="00000000">
      <w:r>
        <w:t>&gt; "Compare this purchase register (Sheet 1) against this GSTR-2B export (Sheet 2). List every row in the purchase register that has no exact match in GSTR-2B, and classify each mismatch as: timing difference, rounding difference, GSTIN error, or unexplained. Do not assume any match is acceptable without supporting reasoning."</w:t>
      </w:r>
    </w:p>
    <w:p w14:paraId="18C71D6A" w14:textId="77777777" w:rsidR="0070366E" w:rsidRDefault="0070366E"/>
    <w:p w14:paraId="29C03B15" w14:textId="77777777" w:rsidR="0070366E" w:rsidRDefault="00000000">
      <w:r>
        <w:t>&gt; "Summarize the attached GST reconciliation in under 200 words for a CFO audience: total ITC claimed, total ITC available per GSTR-2B, value of unresolved mismatches, and the top 3 vendors contributing to mismatches."</w:t>
      </w:r>
    </w:p>
    <w:p w14:paraId="4EA76AB9" w14:textId="77777777" w:rsidR="0070366E" w:rsidRDefault="0070366E"/>
    <w:p w14:paraId="07B609BC" w14:textId="77777777" w:rsidR="0070366E" w:rsidRDefault="00000000">
      <w:r>
        <w:t>### 3.4 Risk checkpoints — GST</w:t>
      </w:r>
    </w:p>
    <w:p w14:paraId="6DA0328F" w14:textId="77777777" w:rsidR="0070366E" w:rsidRDefault="0070366E"/>
    <w:p w14:paraId="35C079CE" w14:textId="77777777" w:rsidR="0070366E" w:rsidRDefault="00000000">
      <w:r>
        <w:t>- Never let AI auto-file a return; filing is always a deliberate human action.</w:t>
      </w:r>
    </w:p>
    <w:p w14:paraId="340DB65E" w14:textId="77777777" w:rsidR="0070366E" w:rsidRDefault="00000000">
      <w:r>
        <w:t>- Cross-check any AI-suggested HSN/SAC code or tax rate against the latest rate notification — AI training data can lag rate changes.</w:t>
      </w:r>
    </w:p>
    <w:p w14:paraId="0D1A0885" w14:textId="77777777" w:rsidR="0070366E" w:rsidRDefault="00000000">
      <w:r>
        <w:t>- Do not upload unmasked GSTIN, PAN, or bank details into a public/consumer AI tool; use an enterprise tool with a data-processing agreement, or mask identifiers first.</w:t>
      </w:r>
    </w:p>
    <w:p w14:paraId="3AC59E06" w14:textId="77777777" w:rsidR="0070366E" w:rsidRDefault="00000000">
      <w:r>
        <w:t>- Keep the AI's reconciliation log as a workpaper — it is evidence of review, not just a convenience output.</w:t>
      </w:r>
    </w:p>
    <w:p w14:paraId="4A4C1F80" w14:textId="77777777" w:rsidR="0070366E" w:rsidRDefault="0070366E"/>
    <w:p w14:paraId="65614ABD" w14:textId="77777777" w:rsidR="0070366E" w:rsidRDefault="00000000">
      <w:r>
        <w:t>---</w:t>
      </w:r>
    </w:p>
    <w:p w14:paraId="607D1B4F" w14:textId="77777777" w:rsidR="0070366E" w:rsidRDefault="0070366E"/>
    <w:p w14:paraId="3A8DA00F" w14:textId="77777777" w:rsidR="0070366E" w:rsidRDefault="00000000">
      <w:r>
        <w:t>## 4. Module B — AI-Assisted TDS Workflow</w:t>
      </w:r>
    </w:p>
    <w:p w14:paraId="66422AAD" w14:textId="77777777" w:rsidR="0070366E" w:rsidRDefault="0070366E"/>
    <w:p w14:paraId="136C16C7" w14:textId="77777777" w:rsidR="0070366E" w:rsidRDefault="00000000">
      <w:r>
        <w:t>### 4.1 Current TDS landscape (reference)</w:t>
      </w:r>
    </w:p>
    <w:p w14:paraId="34B2814C" w14:textId="77777777" w:rsidR="0070366E" w:rsidRDefault="0070366E"/>
    <w:p w14:paraId="3F171282" w14:textId="77777777" w:rsidR="0070366E" w:rsidRDefault="00000000">
      <w:r>
        <w:t>The Income-tax Act, 2025 took effect from 1 April 2026 and renumbered several TDS provisions and forms. Old Sections 192–196D have been consolidated into **Section 392 (salary TDS)** and **Section 393 (all other TDS payments)**. Rates and thresholds carried forward largely unchanged — the renumbering is structural, not a rate change — but always confirm against the current rate chart.</w:t>
      </w:r>
    </w:p>
    <w:p w14:paraId="732DCD28" w14:textId="77777777" w:rsidR="0070366E" w:rsidRDefault="0070366E"/>
    <w:p w14:paraId="3F245FC2" w14:textId="77777777" w:rsidR="0070366E" w:rsidRDefault="00000000">
      <w:r>
        <w:t>| Old form | New form (from FY 2026-27) | Purpose |</w:t>
      </w:r>
    </w:p>
    <w:p w14:paraId="717A626D" w14:textId="77777777" w:rsidR="0070366E" w:rsidRDefault="00000000">
      <w:r>
        <w:t>|---|---|---|</w:t>
      </w:r>
    </w:p>
    <w:p w14:paraId="7F1EDE57" w14:textId="77777777" w:rsidR="0070366E" w:rsidRDefault="00000000">
      <w:r>
        <w:t>| Form 24Q | Form 138 | Quarterly salary TDS return |</w:t>
      </w:r>
    </w:p>
    <w:p w14:paraId="5E449B6D" w14:textId="77777777" w:rsidR="0070366E" w:rsidRDefault="00000000">
      <w:r>
        <w:t>| Form 26Q | Form 140 | Quarterly TDS return — non-salary payments to residents |</w:t>
      </w:r>
    </w:p>
    <w:p w14:paraId="090B8D20" w14:textId="77777777" w:rsidR="0070366E" w:rsidRDefault="00000000">
      <w:r>
        <w:t>| Form 27Q | Form 144 | Quarterly TDS return — payments to non-residents |</w:t>
      </w:r>
    </w:p>
    <w:p w14:paraId="1B31C704" w14:textId="77777777" w:rsidR="0070366E" w:rsidRDefault="00000000">
      <w:r>
        <w:t>| Form 16 | Form 130 | TDS certificate for salary |</w:t>
      </w:r>
    </w:p>
    <w:p w14:paraId="5FAC9561" w14:textId="77777777" w:rsidR="0070366E" w:rsidRDefault="00000000">
      <w:r>
        <w:t>| Form 15G/15H (nil/lower deduction declarations) | Form 121 | Consolidated nil/lower TDS declaration |</w:t>
      </w:r>
    </w:p>
    <w:p w14:paraId="7AEB9B87" w14:textId="77777777" w:rsidR="0070366E" w:rsidRDefault="0070366E"/>
    <w:p w14:paraId="3BBA7C76" w14:textId="77777777" w:rsidR="0070366E" w:rsidRDefault="00000000">
      <w:r>
        <w:t>**Transition rule:** Returns for Q4 FY 2025-26 (Jan–Mar 2026), even if filed in May/June 2026, still use the old form numbers and old section references. Use the new numbers only for FY 2026-27 onward.</w:t>
      </w:r>
    </w:p>
    <w:p w14:paraId="7C457C6D" w14:textId="77777777" w:rsidR="0070366E" w:rsidRDefault="0070366E"/>
    <w:p w14:paraId="10C35F55" w14:textId="77777777" w:rsidR="0070366E" w:rsidRDefault="00000000">
      <w:r>
        <w:t>Illustrative rates (verify current chart before use):</w:t>
      </w:r>
    </w:p>
    <w:p w14:paraId="322CEB90" w14:textId="77777777" w:rsidR="0070366E" w:rsidRDefault="0070366E"/>
    <w:p w14:paraId="0055C92F" w14:textId="77777777" w:rsidR="0070366E" w:rsidRDefault="00000000">
      <w:r>
        <w:t>| Nature of payment | Common section (old / new) | Indicative rate | Threshold |</w:t>
      </w:r>
    </w:p>
    <w:p w14:paraId="7613C9B1" w14:textId="77777777" w:rsidR="0070366E" w:rsidRDefault="00000000">
      <w:r>
        <w:t>|---|---|---|---|</w:t>
      </w:r>
    </w:p>
    <w:p w14:paraId="702D7F4A" w14:textId="77777777" w:rsidR="0070366E" w:rsidRDefault="00000000">
      <w:r>
        <w:t>| Salary | 192 / §392 | Per slab | Per slab/exemption |</w:t>
      </w:r>
    </w:p>
    <w:p w14:paraId="1C792901" w14:textId="77777777" w:rsidR="0070366E" w:rsidRDefault="00000000">
      <w:r>
        <w:t>| Contractor payment | 194C / §393 | 1% (individual/HUF) / 2% (others) | ₹30,000 single / ₹1,00,000 aggregate (verify current limit) |</w:t>
      </w:r>
    </w:p>
    <w:p w14:paraId="6F26CD39" w14:textId="77777777" w:rsidR="0070366E" w:rsidRDefault="00000000">
      <w:r>
        <w:t>| Professional/technical fees | 194J / §393 | 10% (professional) / 2% (technical) | ₹30,000 (professional, verify current limit) |</w:t>
      </w:r>
    </w:p>
    <w:p w14:paraId="3E9BF6F2" w14:textId="77777777" w:rsidR="0070366E" w:rsidRDefault="00000000">
      <w:r>
        <w:t>| Rent | 194I / §393 | 10% (land/building) / 2% (plant &amp; machinery) | ₹2,40,000 p.a. (verify current limit) |</w:t>
      </w:r>
    </w:p>
    <w:p w14:paraId="005D89D8" w14:textId="77777777" w:rsidR="0070366E" w:rsidRDefault="00000000">
      <w:r>
        <w:t>| Purchase of goods | 194Q / §393 | 0.1% | ₹50 lakh aggregate from one seller, buyer turnover &gt; ₹10 crore |</w:t>
      </w:r>
    </w:p>
    <w:p w14:paraId="1F7DD479" w14:textId="77777777" w:rsidR="0070366E" w:rsidRDefault="0070366E"/>
    <w:p w14:paraId="394CF7DB" w14:textId="77777777" w:rsidR="0070366E" w:rsidRDefault="00000000">
      <w:r>
        <w:lastRenderedPageBreak/>
        <w:t>Quarterly return due dates: Q4 (Jan–Mar) return due 31 May; Q1 (Apr–Jun) FY 2026-27 due 31 July. Late filing fee: ₹200/day under the late-fee provision (capped at the TDS amount for the quarter).</w:t>
      </w:r>
    </w:p>
    <w:p w14:paraId="58CD62E0" w14:textId="77777777" w:rsidR="0070366E" w:rsidRDefault="0070366E"/>
    <w:p w14:paraId="5A570ECE" w14:textId="77777777" w:rsidR="0070366E" w:rsidRDefault="00000000">
      <w:r>
        <w:t>### 4.2 AI-assisted TDS documentation workflow (step-by-step)</w:t>
      </w:r>
    </w:p>
    <w:p w14:paraId="58DFD019" w14:textId="77777777" w:rsidR="0070366E" w:rsidRDefault="0070366E"/>
    <w:p w14:paraId="1D3F3211" w14:textId="77777777" w:rsidR="0070366E" w:rsidRDefault="00000000">
      <w:r>
        <w:t>1. **Classify** — AI reads the vendor invoice/contract description and proposes the applicable TDS section and rate (e.g., contractor vs. professional fee vs. rent).</w:t>
      </w:r>
    </w:p>
    <w:p w14:paraId="1C7067A2" w14:textId="77777777" w:rsidR="0070366E" w:rsidRDefault="00000000">
      <w:r>
        <w:t>2. **Track thresholds** — AI maintains a running total per vendor per financial year and flags when a single payment or cumulative payments cross the deduction threshold.</w:t>
      </w:r>
    </w:p>
    <w:p w14:paraId="1F4460D5" w14:textId="77777777" w:rsidR="0070366E" w:rsidRDefault="00000000">
      <w:r>
        <w:t>3. **Detect exceptions** — AI flags short deduction, non-deduction, deduction at the wrong rate (e.g., missing PAN → higher rate not applied), and duplicate vendor entries.</w:t>
      </w:r>
    </w:p>
    <w:p w14:paraId="1D43A0F3" w14:textId="77777777" w:rsidR="0070366E" w:rsidRDefault="00000000">
      <w:r>
        <w:t>4. **Draft documentation** — AI drafts the TDS certificate text (Form 130/16A-equivalent) and a quarterly return working summary (Form 140/26Q-equivalent) for review.</w:t>
      </w:r>
    </w:p>
    <w:p w14:paraId="46824E63" w14:textId="77777777" w:rsidR="0070366E" w:rsidRDefault="00000000">
      <w:r>
        <w:t>5. **Human review** — Preparer verifies section classification against the actual contract/invoice terms (AI can misclassify borderline cases like contractor vs. professional services), confirms PAN validity, and approves the working file.</w:t>
      </w:r>
    </w:p>
    <w:p w14:paraId="10060A14" w14:textId="77777777" w:rsidR="0070366E" w:rsidRDefault="00000000">
      <w:r>
        <w:t>6. **File &amp; archive** — Authorized signatory files Form 140/138/144 on the income-tax portal; AI-assisted classification log and review sign-off are archived.</w:t>
      </w:r>
    </w:p>
    <w:p w14:paraId="52BD5A23" w14:textId="77777777" w:rsidR="0070366E" w:rsidRDefault="0070366E"/>
    <w:p w14:paraId="4537C562" w14:textId="77777777" w:rsidR="0070366E" w:rsidRDefault="00000000">
      <w:r>
        <w:t>### 4.3 Sample AI prompts — TDS</w:t>
      </w:r>
    </w:p>
    <w:p w14:paraId="079C242F" w14:textId="77777777" w:rsidR="0070366E" w:rsidRDefault="0070366E"/>
    <w:p w14:paraId="0C24E1EA" w14:textId="77777777" w:rsidR="0070366E" w:rsidRDefault="00000000">
      <w:r>
        <w:t>&gt; "Based on this vendor invoice description, classify the payment under the correct TDS section (contractor, professional fee, technical service, rent, or commission) and state your confidence and reasoning. If the description is ambiguous, say so explicitly instead of guessing."</w:t>
      </w:r>
    </w:p>
    <w:p w14:paraId="7DFB8261" w14:textId="77777777" w:rsidR="0070366E" w:rsidRDefault="0070366E"/>
    <w:p w14:paraId="34C5C22B" w14:textId="77777777" w:rsidR="0070366E" w:rsidRDefault="00000000">
      <w:r>
        <w:t>&gt; "Here is a vendor payment ledger for FY 2026-27. Flag every vendor where cumulative payments have crossed the TDS threshold for their classified category, and flag any row where TDS appears to have been deducted at a rate lower than required."</w:t>
      </w:r>
    </w:p>
    <w:p w14:paraId="21B6BA13" w14:textId="77777777" w:rsidR="0070366E" w:rsidRDefault="0070366E"/>
    <w:p w14:paraId="7A0D2531" w14:textId="77777777" w:rsidR="0070366E" w:rsidRDefault="00000000">
      <w:r>
        <w:lastRenderedPageBreak/>
        <w:t>&gt; "Draft a TDS certificate (Form 130 equivalent) for this deduction record: vendor name, PAN, payment date, gross amount, section, rate, and TDS deducted. Use a formal certificate format and leave the authorized signatory line blank."</w:t>
      </w:r>
    </w:p>
    <w:p w14:paraId="6558D524" w14:textId="77777777" w:rsidR="0070366E" w:rsidRDefault="0070366E"/>
    <w:p w14:paraId="1BF5A829" w14:textId="77777777" w:rsidR="0070366E" w:rsidRDefault="00000000">
      <w:r>
        <w:t>### 4.4 Risk checkpoints — TDS</w:t>
      </w:r>
    </w:p>
    <w:p w14:paraId="3A40FDD1" w14:textId="77777777" w:rsidR="0070366E" w:rsidRDefault="0070366E"/>
    <w:p w14:paraId="6A561B5B" w14:textId="77777777" w:rsidR="0070366E" w:rsidRDefault="00000000">
      <w:r>
        <w:t>- Section classification is the highest-risk AI output in this workflow — a contractor payment misclassified as a professional fee changes the rate. Always have a human confirm classification against the underlying contract.</w:t>
      </w:r>
    </w:p>
    <w:p w14:paraId="04646980" w14:textId="77777777" w:rsidR="0070366E" w:rsidRDefault="00000000">
      <w:r>
        <w:t>- Confirm PAN availability and validity before accepting an AI-suggested standard rate; a missing/invalid PAN triggers a higher TDS rate under the law.</w:t>
      </w:r>
    </w:p>
    <w:p w14:paraId="1B2FF525" w14:textId="77777777" w:rsidR="0070366E" w:rsidRDefault="00000000">
      <w:r>
        <w:t>- Do not treat AI-suggested thresholds as final — verify against the current notified limits, which can change between budgets.</w:t>
      </w:r>
    </w:p>
    <w:p w14:paraId="19DC5546" w14:textId="77777777" w:rsidR="0070366E" w:rsidRDefault="00000000">
      <w:r>
        <w:t>- Maintain a log of every AI classification that a human overrode, with the reason — this becomes evidence of control during an internal or statutory audit.</w:t>
      </w:r>
    </w:p>
    <w:p w14:paraId="34C02730" w14:textId="77777777" w:rsidR="0070366E" w:rsidRDefault="0070366E"/>
    <w:p w14:paraId="4AAC1E39" w14:textId="77777777" w:rsidR="0070366E" w:rsidRDefault="00000000">
      <w:r>
        <w:t>---</w:t>
      </w:r>
    </w:p>
    <w:p w14:paraId="48105CFA" w14:textId="77777777" w:rsidR="0070366E" w:rsidRDefault="0070366E"/>
    <w:p w14:paraId="36CBCEB8" w14:textId="77777777" w:rsidR="0070366E" w:rsidRDefault="00000000">
      <w:r>
        <w:t>## 5. Module C — General AI-Assisted Compliance Documentation</w:t>
      </w:r>
    </w:p>
    <w:p w14:paraId="43C631E6" w14:textId="77777777" w:rsidR="0070366E" w:rsidRDefault="0070366E"/>
    <w:p w14:paraId="25752238" w14:textId="77777777" w:rsidR="0070366E" w:rsidRDefault="00000000">
      <w:r>
        <w:t>AI is also useful outside return filing, for the surrounding documentation that compliance and audit teams produce:</w:t>
      </w:r>
    </w:p>
    <w:p w14:paraId="19AE73C5" w14:textId="77777777" w:rsidR="0070366E" w:rsidRDefault="0070366E"/>
    <w:p w14:paraId="549C1399" w14:textId="77777777" w:rsidR="0070366E" w:rsidRDefault="00000000">
      <w:r>
        <w:t>- **Notice/query response drafting** — AI drafts a first response to a GST/income-tax department notice based on the notice text and supporting documents; the response is reviewed, fact-checked against records, and finalized by the responsible officer before submission.</w:t>
      </w:r>
    </w:p>
    <w:p w14:paraId="02A8B5EB" w14:textId="77777777" w:rsidR="0070366E" w:rsidRDefault="00000000">
      <w:r>
        <w:t>- **Audit trail packs** — AI assembles a chronological documentation pack (invoices, reconciliations, sign-offs) for a given period or transaction, useful for statutory audit or SOX-style control testing.</w:t>
      </w:r>
    </w:p>
    <w:p w14:paraId="1D57A9FA" w14:textId="77777777" w:rsidR="0070366E" w:rsidRDefault="00000000">
      <w:r>
        <w:lastRenderedPageBreak/>
        <w:t>- **SOP and policy drafting** — AI produces a first draft of a compliance SOP (e.g., "vendor onboarding TDS checklist") from existing process notes, which a compliance owner edits and approves.</w:t>
      </w:r>
    </w:p>
    <w:p w14:paraId="472098BD" w14:textId="77777777" w:rsidR="0070366E" w:rsidRDefault="00000000">
      <w:r>
        <w:t>- **Variance/exception summaries** — AI converts raw reconciliation or ledger exception data into a plain-language summary for non-finance stakeholders.</w:t>
      </w:r>
    </w:p>
    <w:p w14:paraId="48906EFD" w14:textId="77777777" w:rsidR="0070366E" w:rsidRDefault="0070366E"/>
    <w:p w14:paraId="67FEC210" w14:textId="77777777" w:rsidR="0070366E" w:rsidRDefault="00000000">
      <w:r>
        <w:t>In every case, the pattern is identical: **AI drafts, a named human reviews and approves, and the review is documented.** That review step is what makes the workflow audit-defensible.</w:t>
      </w:r>
    </w:p>
    <w:p w14:paraId="3367DE11" w14:textId="77777777" w:rsidR="0070366E" w:rsidRDefault="0070366E"/>
    <w:p w14:paraId="32BF0E7D" w14:textId="77777777" w:rsidR="0070366E" w:rsidRDefault="00000000">
      <w:r>
        <w:t>---</w:t>
      </w:r>
    </w:p>
    <w:p w14:paraId="669BA2DB" w14:textId="77777777" w:rsidR="0070366E" w:rsidRDefault="0070366E"/>
    <w:p w14:paraId="7BC39667" w14:textId="77777777" w:rsidR="0070366E" w:rsidRDefault="00000000">
      <w:r>
        <w:t>## 6. Guardrails &amp; Best Practices</w:t>
      </w:r>
    </w:p>
    <w:p w14:paraId="196DEE5F" w14:textId="77777777" w:rsidR="0070366E" w:rsidRDefault="0070366E"/>
    <w:p w14:paraId="295E7D38" w14:textId="77777777" w:rsidR="0070366E" w:rsidRDefault="00000000">
      <w:r>
        <w:t>1. **Human sign-off is mandatory** before any filing, certificate issuance, or external submission. AI output is a draft, never a final filing.</w:t>
      </w:r>
    </w:p>
    <w:p w14:paraId="28F6847E" w14:textId="77777777" w:rsidR="0070366E" w:rsidRDefault="00000000">
      <w:r>
        <w:t>2. **Protect sensitive data.** Do not paste unmasked GSTIN, PAN, bank account numbers, or salary data into a public/consumer-grade AI tool. Use enterprise tools with an appropriate data-processing agreement, or mask identifiers before use.</w:t>
      </w:r>
    </w:p>
    <w:p w14:paraId="1445A3A0" w14:textId="77777777" w:rsidR="0070366E" w:rsidRDefault="00000000">
      <w:r>
        <w:t>3. **Verify against the primary source.** Rates, thresholds, section numbers, and due dates change through notifications. Treat any AI-stated rate or rule as a claim to verify against the GST/Income Tax portal or a current professional rate chart — not as a fact to file on.</w:t>
      </w:r>
    </w:p>
    <w:p w14:paraId="4EA30066" w14:textId="77777777" w:rsidR="0070366E" w:rsidRDefault="00000000">
      <w:r>
        <w:t>4. **Keep an audit trail.** Save the AI's extraction/reconciliation/classification output, the reviewer's name, date, and a note of anything the reviewer changed or overrode. This is your evidence of control.</w:t>
      </w:r>
    </w:p>
    <w:p w14:paraId="5E5329A3" w14:textId="77777777" w:rsidR="0070366E" w:rsidRDefault="00000000">
      <w:r>
        <w:t>5. **Watch for AI hallucination on law.** AI models can confidently state an incorrect section, rate, or due date, especially right after a law change (like the Income-tax Act, 2025 transition). Cross-check anything law-related against an official notification.</w:t>
      </w:r>
    </w:p>
    <w:p w14:paraId="3771313A" w14:textId="77777777" w:rsidR="0070366E" w:rsidRDefault="00000000">
      <w:r>
        <w:t>6. **Define escalation rules.** Any mismatch above a defined ₹ threshold, or any classification AI flags as low-confidence, should route to a senior reviewer rather than being auto-accepted.</w:t>
      </w:r>
    </w:p>
    <w:p w14:paraId="0C7A3DD6" w14:textId="77777777" w:rsidR="0070366E" w:rsidRDefault="0070366E"/>
    <w:p w14:paraId="48A30452" w14:textId="77777777" w:rsidR="0070366E" w:rsidRDefault="00000000">
      <w:r>
        <w:t>---</w:t>
      </w:r>
    </w:p>
    <w:p w14:paraId="30E9A5DE" w14:textId="77777777" w:rsidR="0070366E" w:rsidRDefault="0070366E"/>
    <w:p w14:paraId="0E8CF497" w14:textId="77777777" w:rsidR="0070366E" w:rsidRDefault="00000000">
      <w:r>
        <w:t>## 7. Hands-On Practice Session</w:t>
      </w:r>
    </w:p>
    <w:p w14:paraId="50900E82" w14:textId="77777777" w:rsidR="0070366E" w:rsidRDefault="0070366E"/>
    <w:p w14:paraId="41898045" w14:textId="77777777" w:rsidR="0070366E" w:rsidRDefault="00000000">
      <w:r>
        <w:t>Three practice files accompany this manual. Work through them in order; an answer key is provided separately for the trainer.</w:t>
      </w:r>
    </w:p>
    <w:p w14:paraId="530AB83F" w14:textId="77777777" w:rsidR="0070366E" w:rsidRDefault="0070366E"/>
    <w:p w14:paraId="5D4B3947" w14:textId="77777777" w:rsidR="0070366E" w:rsidRDefault="00000000">
      <w:r>
        <w:t>**Exercise 1 — GST reconciliation (`Practice_1_GST_Invoice_Register.csv` + `Practice_2_GSTR2B_vs_Purchase_Register.csv`)**</w:t>
      </w:r>
    </w:p>
    <w:p w14:paraId="29E14451" w14:textId="77777777" w:rsidR="0070366E" w:rsidRDefault="00000000">
      <w:r>
        <w:t>Using the prompt template in section 3.3, reconcile the purchase register against the GSTR-2B export. Identify every mismatch, classify it (timing / rounding / GSTIN error / unexplained), and note which ones you would escalate.</w:t>
      </w:r>
    </w:p>
    <w:p w14:paraId="4206A401" w14:textId="77777777" w:rsidR="0070366E" w:rsidRDefault="0070366E"/>
    <w:p w14:paraId="13CE8645" w14:textId="77777777" w:rsidR="0070366E" w:rsidRDefault="00000000">
      <w:r>
        <w:t>**Exercise 2 — TDS classification &amp; threshold check (`Practice_3_TDS_Payments_Register.csv`)**</w:t>
      </w:r>
    </w:p>
    <w:p w14:paraId="7501B89D" w14:textId="77777777" w:rsidR="0070366E" w:rsidRDefault="00000000">
      <w:r>
        <w:t>Using the prompt template in section 4.3, classify each vendor payment to the correct TDS section, check whether the threshold has been crossed, and flag any short deduction or missing-PAN case.</w:t>
      </w:r>
    </w:p>
    <w:p w14:paraId="5E145E09" w14:textId="77777777" w:rsidR="0070366E" w:rsidRDefault="0070366E"/>
    <w:p w14:paraId="4E687AFA" w14:textId="77777777" w:rsidR="0070366E" w:rsidRDefault="00000000">
      <w:r>
        <w:t>**Exercise 3 — Drafting**</w:t>
      </w:r>
    </w:p>
    <w:p w14:paraId="19429E64" w14:textId="77777777" w:rsidR="0070366E" w:rsidRDefault="00000000">
      <w:r>
        <w:t>Pick one flagged item from Exercise 1 or 2 and draft a short compliance note (3–5 sentences) explaining the issue and the recommended next step, as if AI had drafted it for your review.</w:t>
      </w:r>
    </w:p>
    <w:p w14:paraId="2BC32671" w14:textId="77777777" w:rsidR="0070366E" w:rsidRDefault="0070366E"/>
    <w:p w14:paraId="78A674CB" w14:textId="77777777" w:rsidR="0070366E" w:rsidRDefault="00000000">
      <w:r>
        <w:t>Refer to `Practice_Files_Answer_Key.md` to check your work after attempting each exercise.</w:t>
      </w:r>
    </w:p>
    <w:p w14:paraId="24DB9558" w14:textId="77777777" w:rsidR="0070366E" w:rsidRDefault="0070366E"/>
    <w:p w14:paraId="16FD25B7" w14:textId="77777777" w:rsidR="0070366E" w:rsidRDefault="00000000">
      <w:r>
        <w:t>---</w:t>
      </w:r>
    </w:p>
    <w:p w14:paraId="089CA1AB" w14:textId="77777777" w:rsidR="0070366E" w:rsidRDefault="0070366E"/>
    <w:p w14:paraId="7BF2DBD5" w14:textId="77777777" w:rsidR="0070366E" w:rsidRDefault="00000000">
      <w:r>
        <w:t>## 8. Glossary</w:t>
      </w:r>
    </w:p>
    <w:p w14:paraId="2EE87BDB" w14:textId="77777777" w:rsidR="0070366E" w:rsidRDefault="0070366E"/>
    <w:p w14:paraId="27E4559B" w14:textId="77777777" w:rsidR="0070366E" w:rsidRDefault="00000000">
      <w:r>
        <w:lastRenderedPageBreak/>
        <w:t>- **GSTR-1 / GSTR-3B / GSTR-9** — Outward supply return / summary liability return / annual return under GST.</w:t>
      </w:r>
    </w:p>
    <w:p w14:paraId="7DB4D500" w14:textId="77777777" w:rsidR="0070366E" w:rsidRDefault="00000000">
      <w:r>
        <w:t>- **GSTR-2B** — Auto-drafted statement of input tax credit (ITC) available, generated from suppliers' filings.</w:t>
      </w:r>
    </w:p>
    <w:p w14:paraId="1D5C5BF6" w14:textId="77777777" w:rsidR="0070366E" w:rsidRDefault="00000000">
      <w:r>
        <w:t>- **ITC** — Input Tax Credit.</w:t>
      </w:r>
    </w:p>
    <w:p w14:paraId="7B40A2B0" w14:textId="77777777" w:rsidR="0070366E" w:rsidRDefault="00000000">
      <w:r>
        <w:t>- **QRMP** — Quarterly Return Monthly Payment scheme for small taxpayers.</w:t>
      </w:r>
    </w:p>
    <w:p w14:paraId="79AE2E39" w14:textId="77777777" w:rsidR="0070366E" w:rsidRDefault="00000000">
      <w:r>
        <w:t>- **TDS** — Tax Deducted at Source.</w:t>
      </w:r>
    </w:p>
    <w:p w14:paraId="2A303D50" w14:textId="77777777" w:rsidR="0070366E" w:rsidRDefault="00000000">
      <w:r>
        <w:t>- **Form 138 / 140 / 144 / 130 / 121** — TDS forms under the Income-tax Act, 2025, replacing old Forms 24Q / 26Q / 27Q / 16 / 15G-15H respectively, effective FY 2026-27.</w:t>
      </w:r>
    </w:p>
    <w:p w14:paraId="17AD029A" w14:textId="77777777" w:rsidR="0070366E" w:rsidRDefault="00000000">
      <w:r>
        <w:t>- **HSN/SAC** — Harmonized System of Nomenclature / Services Accounting Code, used to classify goods/services for GST rate purposes.</w:t>
      </w:r>
    </w:p>
    <w:p w14:paraId="63498DEF" w14:textId="77777777" w:rsidR="0070366E" w:rsidRDefault="00000000">
      <w:r>
        <w:t>- **OCR** — Optical Character Recognition, used by AI tools to read scanned/PDF documents into structured data.</w:t>
      </w:r>
    </w:p>
    <w:p w14:paraId="17D6E850" w14:textId="77777777" w:rsidR="0070366E" w:rsidRDefault="0070366E"/>
    <w:p w14:paraId="2A9AFA6A" w14:textId="77777777" w:rsidR="0070366E" w:rsidRDefault="00000000">
      <w:r>
        <w:t>---</w:t>
      </w:r>
    </w:p>
    <w:p w14:paraId="16857493" w14:textId="77777777" w:rsidR="0070366E" w:rsidRDefault="0070366E"/>
    <w:p w14:paraId="18D5EA7F" w14:textId="77777777" w:rsidR="0070366E" w:rsidRDefault="00000000">
      <w:r>
        <w:t>## Sources</w:t>
      </w:r>
    </w:p>
    <w:p w14:paraId="6191BB5D" w14:textId="77777777" w:rsidR="0070366E" w:rsidRDefault="0070366E"/>
    <w:p w14:paraId="2ECDC597" w14:textId="77777777" w:rsidR="0070366E" w:rsidRDefault="00000000">
      <w:r>
        <w:t>- [GST Return Due Dates 2026: Monthly, Quarterly &amp; Annual Calendar](https://www.dmifinance.in/gst/gst-return-due-dates/)</w:t>
      </w:r>
    </w:p>
    <w:p w14:paraId="2721ED6D" w14:textId="77777777" w:rsidR="0070366E" w:rsidRDefault="00000000">
      <w:r>
        <w:t>- [GST Filing Last Date 2026: GSTR-1, GSTR-3B &amp; QRMP Dates](https://www.gimbooks.com/blog/gst-return-filing-due-dates-complete-msme-guide-new-gst-rates-compliance/)</w:t>
      </w:r>
    </w:p>
    <w:p w14:paraId="5B9E3195" w14:textId="77777777" w:rsidR="0070366E" w:rsidRDefault="00000000">
      <w:r>
        <w:t>- [GSTR-3B: Due Date, Late Fee, Format, Return Filing, Eligibility, Rules](https://cleartax.in/s/gstr-3b)</w:t>
      </w:r>
    </w:p>
    <w:p w14:paraId="5EE109CD" w14:textId="77777777" w:rsidR="0070366E" w:rsidRDefault="00000000">
      <w:r>
        <w:t>- [TDS Due Dates FY 2026-27: Payment &amp; Return Guide](https://www.gimbooks.com/blog/tds-return-payment-due-dates-fy-2026-27/)</w:t>
      </w:r>
    </w:p>
    <w:p w14:paraId="7A41F428" w14:textId="77777777" w:rsidR="0070366E" w:rsidRDefault="00000000">
      <w:r>
        <w:t>- [TDS changes from April 2026: New Sections, Forms](https://futurexsolutions.com/tds-tcs-changes-april-2026-india/)</w:t>
      </w:r>
    </w:p>
    <w:p w14:paraId="4F4097F1" w14:textId="77777777" w:rsidR="0070366E" w:rsidRDefault="00000000">
      <w:r>
        <w:t>- [New Income Tax Act 2025 explained: 12 key tax forms changing from April 1, 2026 — BusinessToday](https://www.businesstoday.in/personal-finance/tax/story/new-income-</w:t>
      </w:r>
      <w:r>
        <w:lastRenderedPageBreak/>
        <w:t>tax-act-2025-explained-12-key-tax-forms-changing-from-april-1-2026-530661-2026-05-10)</w:t>
      </w:r>
    </w:p>
    <w:p w14:paraId="7C11EAAA" w14:textId="77777777" w:rsidR="0070366E" w:rsidRDefault="00000000">
      <w:r>
        <w:t>- [TDS Forms under Income-tax Act, 2025 — Form 24Q, 26Q, 27Q to Form 138, 140, 144](https://caalokkumar.com/my-writing/tds-forms-income-tax-act-2025-old-vs-new-guide/)</w:t>
      </w:r>
    </w:p>
    <w:p w14:paraId="56646E19" w14:textId="77777777" w:rsidR="0070366E" w:rsidRDefault="00000000">
      <w:r>
        <w:t>- [AI-Powered Direct Tax Compliance Platform &amp; TDS Automation for Enterprises — ClearTax](https://cleartax.in/s/direct-tax-compliance-platform)</w:t>
      </w:r>
    </w:p>
    <w:p w14:paraId="65E0961D" w14:textId="77777777" w:rsidR="0070366E" w:rsidRDefault="00000000">
      <w:r>
        <w:t>- [Leveraging AI for GST Automation and Reconciliation — ICAI](https://ai.icai.org/usecases_details.php?id=89)</w:t>
      </w:r>
    </w:p>
    <w:p w14:paraId="73EBB8FD" w14:textId="77777777" w:rsidR="0070366E" w:rsidRDefault="00000000">
      <w:r>
        <w:t>- [TDS Rate Chart FY 2026-27 — Tax2win](https://tax2win.in/guide/tds-rate-chart)</w:t>
      </w:r>
    </w:p>
    <w:p w14:paraId="3524B5AD" w14:textId="77777777" w:rsidR="0070366E" w:rsidRDefault="00000000">
      <w:r>
        <w:t>- [TDS &amp; TCS Rate Chart FY 2026-27 — Gimbooks](https://www.gimbooks.com/blog/tds-tcs-rate-chart-for-fy-2026-27/)</w:t>
      </w:r>
    </w:p>
    <w:p w14:paraId="5C5A79C0" w14:textId="77777777" w:rsidR="0070366E" w:rsidRDefault="0070366E"/>
    <w:p w14:paraId="15FD94AB" w14:textId="77777777" w:rsidR="0070366E" w:rsidRDefault="00000000">
      <w:r>
        <w:t>*Note: This manual was produced as a Markdown document because the file-conversion sandbox needed to generate a native .docx was temporarily unavailable. The content is print-ready — open it in any editor/Word and use File → Print or Export to PDF/.docx if a Word file is specifically required.*</w:t>
      </w:r>
    </w:p>
    <w:p w14:paraId="14E31A7B" w14:textId="77777777" w:rsidR="00924985" w:rsidRDefault="00924985"/>
    <w:p w14:paraId="3C3D1666" w14:textId="0B17389A" w:rsidR="0070366E" w:rsidRDefault="0070366E"/>
    <w:sectPr w:rsidR="007036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2581171">
    <w:abstractNumId w:val="8"/>
  </w:num>
  <w:num w:numId="2" w16cid:durableId="2026012453">
    <w:abstractNumId w:val="6"/>
  </w:num>
  <w:num w:numId="3" w16cid:durableId="1078986968">
    <w:abstractNumId w:val="5"/>
  </w:num>
  <w:num w:numId="4" w16cid:durableId="700520928">
    <w:abstractNumId w:val="4"/>
  </w:num>
  <w:num w:numId="5" w16cid:durableId="1319773920">
    <w:abstractNumId w:val="7"/>
  </w:num>
  <w:num w:numId="6" w16cid:durableId="973490009">
    <w:abstractNumId w:val="3"/>
  </w:num>
  <w:num w:numId="7" w16cid:durableId="1040010198">
    <w:abstractNumId w:val="2"/>
  </w:num>
  <w:num w:numId="8" w16cid:durableId="1998921155">
    <w:abstractNumId w:val="1"/>
  </w:num>
  <w:num w:numId="9" w16cid:durableId="153218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0362"/>
    <w:rsid w:val="0070366E"/>
    <w:rsid w:val="00924985"/>
    <w:rsid w:val="00AA1D8D"/>
    <w:rsid w:val="00B47730"/>
    <w:rsid w:val="00CB0664"/>
    <w:rsid w:val="00E237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5ABB5"/>
  <w14:defaultImageDpi w14:val="300"/>
  <w15:docId w15:val="{D68FFB04-EC0D-49F5-8AB3-78A696839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92498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2450</Words>
  <Characters>14238</Characters>
  <Application>Microsoft Office Word</Application>
  <DocSecurity>0</DocSecurity>
  <Lines>331</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Perepa</cp:lastModifiedBy>
  <cp:revision>3</cp:revision>
  <dcterms:created xsi:type="dcterms:W3CDTF">2013-12-23T23:15:00Z</dcterms:created>
  <dcterms:modified xsi:type="dcterms:W3CDTF">2026-06-16T10:08:00Z</dcterms:modified>
  <cp:category/>
</cp:coreProperties>
</file>