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Answer Key — Practice Exercises (Trainer Copy)</w:t>
      </w:r>
    </w:p>
    <w:p/>
    <w:p>
      <w:r>
        <w:t>## Exercise 1: GST Reconciliation</w:t>
      </w:r>
    </w:p>
    <w:p>
      <w:r>
        <w:t>Files: `Practice_1_GST_Purchase_Register.csv` vs `Practice_2_GSTR2B_Export.csv`</w:t>
      </w:r>
    </w:p>
    <w:p/>
    <w:p>
      <w:r>
        <w:t>| Invoice No | Vendor | Issue | Classification | Recommended action |</w:t>
      </w:r>
    </w:p>
    <w:p>
      <w:r>
        <w:t>|---|---|---|---|---|</w:t>
      </w:r>
    </w:p>
    <w:p>
      <w:r>
        <w:t>| INV-1001 | Sharma Enterprises | Appears twice in the purchase register (same invoice, same amount) but only once in GSTR-2B | Duplicate entry / data entry error | Remove the duplicate row from the purchase register; do not double-claim ITC |</w:t>
      </w:r>
    </w:p>
    <w:p>
      <w:r>
        <w:t>| INV-1002 | Kumar Traders | Total in GSTR-2B is ₹59,500 vs ₹59,000 in purchase register (same taxable value and tax, total differs by ₹500) | Rounding/data entry difference | Verify against the original invoice; correct whichever side is wrong |</w:t>
      </w:r>
    </w:p>
    <w:p>
      <w:r>
        <w:t>| INV-1003 | Patel Industries | Purchase register shows 12% GST; GSTR-2B shows 18% | Genuine discrepancy (rate mismatch) | Check the invoice and HSN rate notification; contact vendor if their filing is wrong — do not claim ITC at the higher unverified rate |</w:t>
      </w:r>
    </w:p>
    <w:p>
      <w:r>
        <w:t>| INV-1005 | Singh &amp; Co | Present in purchase register, absent from the May-2026 GSTR-2B | Timing difference (vendor likely files next period) | Hold ITC claim until it appears in GSTR-2B; track for follow-up |</w:t>
      </w:r>
    </w:p>
    <w:p>
      <w:r>
        <w:t>| INV-1006 | Verma Logistics | Present in purchase register, absent from GSTR-2B entirely | Unexplained / vendor non-filing | Escalate — contact vendor; ITC cannot be claimed until reflected in GSTR-2B |</w:t>
      </w:r>
    </w:p>
    <w:p>
      <w:r>
        <w:t>| INV-1008 | Reddy Tech Solutions | GSTIN differs by one character between the two records (...M1Z6 vs ...M1Z9) | GSTIN entry error | Confirm correct GSTIN from the vendor's GST registration certificate; correct the register |</w:t>
      </w:r>
    </w:p>
    <w:p>
      <w:r>
        <w:t>| All other invoices (1007, 1009–1012) | — | Match exactly | No issue | No action needed |</w:t>
      </w:r>
    </w:p>
    <w:p/>
    <w:p>
      <w:r>
        <w:t>**Teaching point:** an AI tool can group these mismatches in seconds, but a human must decide what each one means and who acts on it — that judgment step cannot be automated away.</w:t>
      </w:r>
    </w:p>
    <w:p/>
    <w:p>
      <w:r>
        <w:t>---</w:t>
      </w:r>
    </w:p>
    <w:p/>
    <w:p>
      <w:r>
        <w:t>## Exercise 2: TDS Classification &amp; Threshold Check</w:t>
      </w:r>
    </w:p>
    <w:p>
      <w:r>
        <w:t>File: `Practice_3_TDS_Payments_Register.csv`</w:t>
      </w:r>
    </w:p>
    <w:p/>
    <w:p>
      <w:r>
        <w:t>| Vendor | Issue | Explanation | Recommended action |</w:t>
      </w:r>
    </w:p>
    <w:p>
      <w:r>
        <w:t>|---|---|---|---|</w:t>
      </w:r>
    </w:p>
    <w:p>
      <w:r>
        <w:t>| Anil Sharma (contractor) | None | Individual contractor, 1% correctly applied, aggregate threshold properly triggers deduction | No action |</w:t>
      </w:r>
    </w:p>
    <w:p>
      <w:r>
        <w:t>| BrightTech Solutions (technical support) | None | Technical service, 2% correctly applied | No action |</w:t>
      </w:r>
    </w:p>
    <w:p>
      <w:r>
        <w:t>| Dr. Kavita Rao (medical consultancy) | **Misclassification** | Professional fee should attract ~10%, not the 2% technical-service rate that was applied | Recompute and deduct the shortfall; this is the highest-risk error type — always confirm professional vs. technical service classification against the contract |</w:t>
      </w:r>
    </w:p>
    <w:p>
      <w:r>
        <w:t>| Office Space Renters LLP (rent) | None | 10% on building rent, correctly applied, annual threshold exceeded | No action |</w:t>
      </w:r>
    </w:p>
    <w:p>
      <w:r>
        <w:t>| Quick Logistics (transport) | **Missing PAN** | No PAN on file; standard rate was applied instead of the higher rate required when PAN is unavailable | Obtain PAN immediately; recompute TDS at the higher rate and recover the shortfall |</w:t>
      </w:r>
    </w:p>
    <w:p>
      <w:r>
        <w:t>| Sharma Enterprises (furniture contract, both payments) | None | Company contractor, 2% correctly applied on each payment | No action |</w:t>
      </w:r>
    </w:p>
    <w:p>
      <w:r>
        <w:t>| Meera Iyer (commission) | **Rate to verify** | Commission/brokerage rates have changed across recent budgets — do not accept the 5% shown without checking the current notified rate | Verify against the current TDS rate chart before relying on this rate |</w:t>
      </w:r>
    </w:p>
    <w:p>
      <w:r>
        <w:t>| National Equipment Pvt Ltd (goods purchase, 194Q) | **Threshold-base error** | TDS under section 194Q applies only to the amount **exceeding** ₹50 lakh aggregate, not the full payment. Threshold ₹50,00,000; cumulative ₹65,00,000; excess ₹15,00,000 → correct TDS = 0.1% × 15,00,000 = ₹1,500, not the ₹6,500 deducted | Recompute; this is a common AI/preparer error — flag for correction |</w:t>
      </w:r>
    </w:p>
    <w:p>
      <w:r>
        <w:t>| Ramesh Patel (freelance design) | None | Below the ₹30,000 professional-fee threshold for first payment this FY; correctly no deduction | No action |</w:t>
      </w:r>
    </w:p>
    <w:p/>
    <w:p>
      <w:r>
        <w:t>**Teaching point:** the two engineered errors (Dr. Rao, National Equipment) are exactly the kind of mistake an AI classifier can make confidently and incorrectly — confirming the underlying contract terms and the precise threshold mechanics is the reviewer's job, not the AI's.</w:t>
      </w:r>
    </w:p>
    <w:p/>
    <w:p>
      <w:r>
        <w:t>---</w:t>
      </w:r>
    </w:p>
    <w:p/>
    <w:p>
      <w:r>
        <w:t>## Exercise 3: Drafting a Compliance Note (sample answer)</w:t>
      </w:r>
    </w:p>
    <w:p/>
    <w:p>
      <w:r>
        <w:t>&gt; **Note — TDS Section Misclassification: Dr. Kavita Rao, Payment dated 10-05-2026**</w:t>
      </w:r>
    </w:p>
    <w:p>
      <w:r>
        <w:t>&gt; Payment of ₹60,000 to Dr. Kavita Rao for medical advisory services was processed as a technical service under TDS at 2% (₹1,200 deducted). Medical/professional consultancy falls under the professional-fee category, which attracts a higher rate. Recommend recomputing TDS at the correct professional-fee rate, deducting/recovering the shortfall, and updating the vendor master classification to prevent recurrence on future payments. Reviewed by: _____ Date: _____</w:t>
      </w:r>
    </w:p>
    <w:p/>
    <w:p>
      <w:r>
        <w:t>Use this as the rubric: trainees' notes should name the issue, state the ₹ impact, and propose a concrete next step with a reviewer sign-off line — not just describe the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