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Lead Job Description</w:t>
      </w:r>
    </w:p>
    <w:p>
      <w:pPr>
        <w:spacing w:after="300"/>
        <w:jc w:val="left"/>
      </w:pPr>
      <w:r>
        <w:rPr>
          <w:b/>
          <w:color w:val="147D83"/>
          <w:sz w:val="24"/>
        </w:rPr>
        <w:t>Pediatrics and Evidence Quality | Part-time Clinical Adviser</w:t>
      </w:r>
    </w:p>
    <w:p>
      <w:pPr>
        <w:pStyle w:val="Heading1"/>
      </w:pPr>
      <w:r>
        <w:t>1. Role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Working title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Clinical Lead (Pediatrics and Evidence Quality)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Engagement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Paid, part-time adviser or consultant for the POC; scope and fee agreed before work begins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Project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 xml:space="preserve">Reusable AI literature-discovery assistant, initially configured for one issue of </w:t>
            </w:r>
            <w:r>
              <w:rPr>
                <w:i/>
                <w:sz w:val="18"/>
              </w:rPr>
              <w:t>Indian Pediatrics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Initial corpus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January 2025, Volume 62, Issue 1; limited set of locally processed article PDFs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Main purpose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Define and independently review clinical relevance, answer grounding, citations, safety boundaries, and demonstration claims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Reports to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Product Owner / Project Lead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Coding requirement</w:t>
            </w:r>
          </w:p>
        </w:tc>
        <w:tc>
          <w:tcPr>
            <w:tcW w:type="dxa" w:w="49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None</w:t>
            </w:r>
          </w:p>
        </w:tc>
      </w:tr>
    </w:tbl>
    <w:p>
      <w:pPr>
        <w:spacing w:after="20"/>
      </w:pPr>
    </w:p>
    <w:p>
      <w:pPr>
        <w:pStyle w:val="Heading1"/>
      </w:pPr>
      <w:r>
        <w:t>2. About the project</w:t>
      </w:r>
    </w:p>
    <w:p>
      <w:r>
        <w:t>The project is a proof of concept for helping pediatricians, residents, researchers, educators, and students find and inspect articles in a journal archive. It combines metadata, local lexical and semantic retrieval, source passages, and optional AI-generated summaries that cite retrieved passages.</w:t>
      </w:r>
    </w:p>
    <w:p>
      <w:r>
        <w:t xml:space="preserve">The intended POC is a </w:t>
      </w:r>
      <w:r>
        <w:rPr>
          <w:b/>
        </w:rPr>
        <w:t>journal literature-discovery and summarization tool</w:t>
      </w:r>
      <w:r>
        <w:t>. It is not intended to diagnose a child, recommend tests or treatment, calculate a dose, triage a patient, or replace clinical judgment. It currently covers one journal issue and has not been clinically validated.</w:t>
      </w:r>
    </w:p>
    <w:p>
      <w:pPr>
        <w:pStyle w:val="Heading1"/>
      </w:pPr>
      <w:r>
        <w:t>3. Why this role is important</w:t>
      </w:r>
    </w:p>
    <w:p>
      <w:r>
        <w:t>The developer can implement indexing, retrieval, interfaces, and automated checks, but should not be the sole judge of whether a medical statement is accurate, appropriately qualified, or safe to show. A pediatrician should help set the clinical evaluation criteria, independently review representative results, and explain the limits in language that journal editors and clinicians recognize.</w:t>
      </w:r>
    </w:p>
    <w:p>
      <w:r>
        <w:t>For this POC, the pediatrician can initially serve as a paid adviser rather than a full-time employee or formal Medical Director. Their appointment does not by itself establish regulatory compliance, publication rights, or clinical validation.</w:t>
      </w:r>
    </w:p>
    <w:p>
      <w:pPr>
        <w:pStyle w:val="Heading1"/>
      </w:pPr>
      <w:r>
        <w:t>4. Responsibilities</w:t>
      </w:r>
    </w:p>
    <w:p>
      <w:pPr>
        <w:pStyle w:val="Heading2"/>
      </w:pPr>
      <w:r>
        <w:t>4.1 Define intended use and clinical boundaries</w:t>
      </w:r>
    </w:p>
    <w:p>
      <w:pPr>
        <w:pStyle w:val="ListBullet"/>
        <w:spacing w:after="60"/>
      </w:pPr>
      <w:r>
        <w:t>Review the product's intended users, tasks, and explicit non-goals.</w:t>
      </w:r>
    </w:p>
    <w:p>
      <w:pPr>
        <w:pStyle w:val="ListBullet"/>
        <w:spacing w:after="60"/>
      </w:pPr>
      <w:r>
        <w:t>Help define examples of permitted literature-search questions versus patient-specific requests that must be refused or redirected.</w:t>
      </w:r>
    </w:p>
    <w:p>
      <w:pPr>
        <w:pStyle w:val="ListBullet"/>
        <w:spacing w:after="60"/>
      </w:pPr>
      <w:r>
        <w:t>Review the visible safety language so that it is accurate, understandable, and not falsely reassuring.</w:t>
      </w:r>
    </w:p>
    <w:p>
      <w:pPr>
        <w:pStyle w:val="ListBullet"/>
        <w:spacing w:after="60"/>
      </w:pPr>
      <w:r>
        <w:t>Identify clinically foreseeable misuse, including treating a paper summary as an individualized recommendation.</w:t>
      </w:r>
    </w:p>
    <w:p>
      <w:pPr>
        <w:pStyle w:val="ListBullet"/>
        <w:spacing w:after="60"/>
      </w:pPr>
      <w:r>
        <w:t>Advise when a proposed feature changes the intended use enough to require a new safety and regulatory assessment.</w:t>
      </w:r>
    </w:p>
    <w:p>
      <w:pPr>
        <w:pStyle w:val="Heading2"/>
      </w:pPr>
      <w:r>
        <w:t>4.2 Review the corpus and medical metadata</w:t>
      </w:r>
    </w:p>
    <w:p>
      <w:pPr>
        <w:pStyle w:val="ListBullet"/>
        <w:spacing w:after="60"/>
      </w:pPr>
      <w:r>
        <w:t>Check that article title, type/category, author, publication date, volume, issue, and page information are represented correctly for reviewed examples.</w:t>
      </w:r>
    </w:p>
    <w:p>
      <w:pPr>
        <w:pStyle w:val="ListBullet"/>
        <w:spacing w:after="60"/>
      </w:pPr>
      <w:r>
        <w:t>Confirm that article types are not conflated: for example, original research, systematic review, guideline synopsis, commentary, correspondence, case report, and secondary-source clipping.</w:t>
      </w:r>
    </w:p>
    <w:p>
      <w:pPr>
        <w:pStyle w:val="ListBullet"/>
        <w:spacing w:after="60"/>
      </w:pPr>
      <w:r>
        <w:t>Identify when a result is from a commentary or secondary source rather than primary clinical evidence.</w:t>
      </w:r>
    </w:p>
    <w:p>
      <w:pPr>
        <w:pStyle w:val="ListBullet"/>
        <w:spacing w:after="60"/>
      </w:pPr>
      <w:r>
        <w:t>Review extracted passages for clinically meaningful missing context, broken tables, negation errors, unit errors, and article/page mismatches.</w:t>
      </w:r>
    </w:p>
    <w:p>
      <w:pPr>
        <w:pStyle w:val="ListBullet"/>
        <w:spacing w:after="60"/>
      </w:pPr>
      <w:r>
        <w:t>Flag content that should not be used as clinical evidence or should be visibly labeled with its editorial role.</w:t>
      </w:r>
    </w:p>
    <w:p>
      <w:pPr>
        <w:pStyle w:val="Heading2"/>
      </w:pPr>
      <w:r>
        <w:t>4.3 Build and approve the clinical evaluation set</w:t>
      </w:r>
    </w:p>
    <w:p>
      <w:pPr>
        <w:pStyle w:val="ListBullet"/>
        <w:spacing w:after="60"/>
      </w:pPr>
      <w:r>
        <w:t>Review the existing Golden Test Set and confirm whether each expected article is genuinely relevant to its question.</w:t>
      </w:r>
    </w:p>
    <w:p>
      <w:pPr>
        <w:pStyle w:val="ListBullet"/>
        <w:spacing w:after="60"/>
      </w:pPr>
      <w:r>
        <w:t>Add realistic, neutral questions across topics and article types, including author/issue lookup, comparisons, temporal questions, ambiguous queries, and questions outside the corpus.</w:t>
      </w:r>
    </w:p>
    <w:p>
      <w:pPr>
        <w:pStyle w:val="ListBullet"/>
        <w:spacing w:after="60"/>
      </w:pPr>
      <w:r>
        <w:t>Create a reference record for each question: intended relevant article(s), passage/page supporting the answer, essential facts, and acceptable uncertainty.</w:t>
      </w:r>
    </w:p>
    <w:p>
      <w:pPr>
        <w:pStyle w:val="ListBullet"/>
        <w:spacing w:after="60"/>
      </w:pPr>
      <w:r>
        <w:t>Include negative cases where the issue has no answer, conflicting evidence, insufficient detail, or only commentary/secondary-source material.</w:t>
      </w:r>
    </w:p>
    <w:p>
      <w:pPr>
        <w:pStyle w:val="ListBullet"/>
        <w:spacing w:after="60"/>
      </w:pPr>
      <w:r>
        <w:t>Keep patient-specific prompts synthetic and non-identifiable; do not use real patient details in demo or evaluation prompts.</w:t>
      </w:r>
    </w:p>
    <w:p>
      <w:pPr>
        <w:pStyle w:val="Heading2"/>
      </w:pPr>
      <w:r>
        <w:t>4.4 Review generated answers and citation grounding</w:t>
      </w:r>
    </w:p>
    <w:p>
      <w:r>
        <w:t>For a representative sample of outputs, independently assess:</w:t>
      </w:r>
    </w:p>
    <w:p>
      <w:pPr>
        <w:pStyle w:val="ListBullet"/>
        <w:spacing w:after="60"/>
      </w:pPr>
      <w:r>
        <w:rPr>
          <w:b/>
        </w:rPr>
        <w:t>Factual accuracy:</w:t>
      </w:r>
      <w:r>
        <w:t xml:space="preserve"> Does the summary accurately state the passage's findings?</w:t>
      </w:r>
    </w:p>
    <w:p>
      <w:pPr>
        <w:pStyle w:val="ListBullet"/>
        <w:spacing w:after="60"/>
      </w:pPr>
      <w:r>
        <w:rPr>
          <w:b/>
        </w:rPr>
        <w:t>Support:</w:t>
      </w:r>
      <w:r>
        <w:t xml:space="preserve"> Does each claim have a cited passage that actually supports it?</w:t>
      </w:r>
    </w:p>
    <w:p>
      <w:pPr>
        <w:pStyle w:val="ListBullet"/>
        <w:spacing w:after="60"/>
      </w:pPr>
      <w:r>
        <w:rPr>
          <w:b/>
        </w:rPr>
        <w:t>Completeness:</w:t>
      </w:r>
      <w:r>
        <w:t xml:space="preserve"> Has an important qualification, comparator, outcome, or limitation been omitted?</w:t>
      </w:r>
    </w:p>
    <w:p>
      <w:pPr>
        <w:pStyle w:val="ListBullet"/>
        <w:spacing w:after="60"/>
      </w:pPr>
      <w:r>
        <w:rPr>
          <w:b/>
        </w:rPr>
        <w:t>Study interpretation:</w:t>
      </w:r>
      <w:r>
        <w:t xml:space="preserve"> Are design, population, intervention/exposure, comparator, and outcome described correctly?</w:t>
      </w:r>
    </w:p>
    <w:p>
      <w:pPr>
        <w:pStyle w:val="ListBullet"/>
        <w:spacing w:after="60"/>
      </w:pPr>
      <w:r>
        <w:rPr>
          <w:b/>
        </w:rPr>
        <w:t>Evidence type:</w:t>
      </w:r>
      <w:r>
        <w:t xml:space="preserve"> Does the answer distinguish a trial, observational study, review, guideline, commentary, or case report?</w:t>
      </w:r>
    </w:p>
    <w:p>
      <w:pPr>
        <w:pStyle w:val="ListBullet"/>
        <w:spacing w:after="60"/>
      </w:pPr>
      <w:r>
        <w:rPr>
          <w:b/>
        </w:rPr>
        <w:t>Uncertainty:</w:t>
      </w:r>
      <w:r>
        <w:t xml:space="preserve"> Are limitations, conflicting findings, and insufficient evidence stated honestly?</w:t>
      </w:r>
    </w:p>
    <w:p>
      <w:pPr>
        <w:pStyle w:val="ListBullet"/>
        <w:spacing w:after="60"/>
      </w:pPr>
      <w:r>
        <w:rPr>
          <w:b/>
        </w:rPr>
        <w:t>Citation integrity:</w:t>
      </w:r>
      <w:r>
        <w:t xml:space="preserve"> Does each source label resolve to the correct article and page, and is the cited text relevant to the claim?</w:t>
      </w:r>
    </w:p>
    <w:p>
      <w:pPr>
        <w:pStyle w:val="ListBullet"/>
        <w:spacing w:after="60"/>
      </w:pPr>
      <w:r>
        <w:rPr>
          <w:b/>
        </w:rPr>
        <w:t>Clinical safety:</w:t>
      </w:r>
      <w:r>
        <w:t xml:space="preserve"> Has the response drifted into patient-specific diagnosis, treatment, dosing, or reassurance?</w:t>
      </w:r>
    </w:p>
    <w:p>
      <w:pPr>
        <w:pStyle w:val="ListBullet"/>
        <w:spacing w:after="60"/>
      </w:pPr>
      <w:r>
        <w:rPr>
          <w:b/>
        </w:rPr>
        <w:t>Misleading tone:</w:t>
      </w:r>
      <w:r>
        <w:t xml:space="preserve"> Does fluent wording make a preliminary or weak finding sound established or universal?</w:t>
      </w:r>
    </w:p>
    <w:p>
      <w:r>
        <w:t>The adviser should record the exact answer, source ID/page, review decision, and a short rationale. A citation that exists is not automatically evidence that a claim is supported.</w:t>
      </w:r>
    </w:p>
    <w:p>
      <w:pPr>
        <w:pStyle w:val="Heading2"/>
      </w:pPr>
      <w:r>
        <w:t>4.5 Set severity and escalation rules</w:t>
      </w:r>
    </w:p>
    <w:p>
      <w:r>
        <w:t>Work with the Product Owner to agree a simple defect scale. For example: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Patient-specific treatment or dose advice; dangerous reversal of a finding; fabricated clinical result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Block the demo/release path until fixed and retested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Major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Unsupported or materially incorrect claim; citation points to unrelated evidence; study design is misrepresented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Fix and rerun affected evaluation cases before demonstrating the affected workflow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Important limitation or context omitted; article type/page metadata misleading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Correct, document, and retest the affected behavior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Minor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Wording, formatting, or non-clinical display issue without misleading meaning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Log and prioritize with the Product Owner</w:t>
            </w:r>
          </w:p>
        </w:tc>
      </w:tr>
    </w:tbl>
    <w:p>
      <w:pPr>
        <w:spacing w:after="20"/>
      </w:pPr>
    </w:p>
    <w:p>
      <w:r>
        <w:t>The pediatrician should have authority to recommend pausing a clinical-content demonstration when a critical or major issue is found. The Product Owner remains responsible for implementation and project decisions and must document how high-severity issues are resolved.</w:t>
      </w:r>
    </w:p>
    <w:p>
      <w:pPr>
        <w:pStyle w:val="Heading2"/>
      </w:pPr>
      <w:r>
        <w:t>4.6 Review the demonstration and communicate with editors</w:t>
      </w:r>
    </w:p>
    <w:p>
      <w:pPr>
        <w:pStyle w:val="ListBullet"/>
        <w:spacing w:after="60"/>
      </w:pPr>
      <w:r>
        <w:t>Review the demonstration questions, selected results, and spoken claims before an editor walkthrough.</w:t>
      </w:r>
    </w:p>
    <w:p>
      <w:pPr>
        <w:pStyle w:val="ListBullet"/>
        <w:spacing w:after="60"/>
      </w:pPr>
      <w:r>
        <w:t>Help present the product in journal and clinical-research language: corpus scope, evidence types, provenance, retrieval, summaries, citation checks, limitations, and human review.</w:t>
      </w:r>
    </w:p>
    <w:p>
      <w:pPr>
        <w:pStyle w:val="ListBullet"/>
        <w:spacing w:after="60"/>
      </w:pPr>
      <w:r>
        <w:t>Explain what the prototype does and does not demonstrate without implying endorsement by the journal or medical institution.</w:t>
      </w:r>
    </w:p>
    <w:p>
      <w:pPr>
        <w:pStyle w:val="ListBullet"/>
        <w:spacing w:after="60"/>
      </w:pPr>
      <w:r>
        <w:t>Help prepare questions for editors about article categories, archive structure, reader workflows, corrections/updates, metadata, and editorial expectations.</w:t>
      </w:r>
    </w:p>
    <w:p>
      <w:pPr>
        <w:pStyle w:val="ListBullet"/>
        <w:spacing w:after="60"/>
      </w:pPr>
      <w:r>
        <w:t>Route permission, licensing, confidentiality, and publication-rights questions to the journal/publisher and appropriate legal or institutional contact; do not decide rights alone.</w:t>
      </w:r>
    </w:p>
    <w:p>
      <w:pPr>
        <w:pStyle w:val="ListBullet"/>
        <w:spacing w:after="60"/>
      </w:pPr>
      <w:r>
        <w:t>Disclose professional, financial, institutional, and editorial conflicts of interest.</w:t>
      </w:r>
    </w:p>
    <w:p>
      <w:pPr>
        <w:pStyle w:val="Heading2"/>
      </w:pPr>
      <w:r>
        <w:t>4.7 Support retesting and ongoing quality review</w:t>
      </w:r>
    </w:p>
    <w:p>
      <w:pPr>
        <w:pStyle w:val="ListBullet"/>
        <w:spacing w:after="60"/>
      </w:pPr>
      <w:r>
        <w:t>Review high-severity defects after fixes and confirm that the original failure case has been rerun.</w:t>
      </w:r>
    </w:p>
    <w:p>
      <w:pPr>
        <w:pStyle w:val="ListBullet"/>
        <w:spacing w:after="60"/>
      </w:pPr>
      <w:r>
        <w:t>Advise which evaluation cases should be repeated when the corpus, PDF extraction, metadata, retrieval settings, prompt, or model changes.</w:t>
      </w:r>
    </w:p>
    <w:p>
      <w:pPr>
        <w:pStyle w:val="ListBullet"/>
        <w:spacing w:after="60"/>
      </w:pPr>
      <w:r>
        <w:t>Help define a periodic review plan before any expansion beyond the POC issue.</w:t>
      </w:r>
    </w:p>
    <w:p>
      <w:pPr>
        <w:pStyle w:val="ListBullet"/>
        <w:spacing w:after="60"/>
      </w:pPr>
      <w:r>
        <w:t>Identify clinical/editorial changes that could make older article content misleading without publication-date context.</w:t>
      </w:r>
    </w:p>
    <w:p>
      <w:pPr>
        <w:pStyle w:val="Heading1"/>
      </w:pPr>
      <w:r>
        <w:t>5. Expected deliverables</w:t>
      </w:r>
    </w:p>
    <w:p>
      <w:r>
        <w:t>The initial engagement should produce the following project records:</w:t>
      </w:r>
    </w:p>
    <w:p>
      <w:pPr>
        <w:spacing w:after="80"/>
        <w:ind w:left="403" w:hanging="403"/>
      </w:pPr>
      <w:r>
        <w:t xml:space="preserve">1. </w:t>
      </w:r>
      <w:r>
        <w:rPr>
          <w:b/>
        </w:rPr>
        <w:t>Clinical Intended-Use and Boundary Note</w:t>
      </w:r>
      <w:r>
        <w:t xml:space="preserve"> - intended users, supported literature tasks, prohibited patient-specific use, and escalation wording.</w:t>
      </w:r>
    </w:p>
    <w:p>
      <w:pPr>
        <w:spacing w:after="80"/>
        <w:ind w:left="403" w:hanging="403"/>
      </w:pPr>
      <w:r>
        <w:t xml:space="preserve">2. </w:t>
      </w:r>
      <w:r>
        <w:rPr>
          <w:b/>
        </w:rPr>
        <w:t>Corpus Review Log</w:t>
      </w:r>
      <w:r>
        <w:t xml:space="preserve"> - reviewed article metadata, article-type concerns, extraction/page issues, and items to exclude or label.</w:t>
      </w:r>
    </w:p>
    <w:p>
      <w:pPr>
        <w:spacing w:after="80"/>
        <w:ind w:left="403" w:hanging="403"/>
      </w:pPr>
      <w:r>
        <w:t xml:space="preserve">3. </w:t>
      </w:r>
      <w:r>
        <w:rPr>
          <w:b/>
        </w:rPr>
        <w:t>Clinician-Reviewed Golden Test Set</w:t>
      </w:r>
      <w:r>
        <w:t xml:space="preserve"> - questions, expected article IDs/pages, answer-essential facts, negative cases, and reviewer rationale.</w:t>
      </w:r>
    </w:p>
    <w:p>
      <w:pPr>
        <w:spacing w:after="80"/>
        <w:ind w:left="403" w:hanging="403"/>
      </w:pPr>
      <w:r>
        <w:t xml:space="preserve">4. </w:t>
      </w:r>
      <w:r>
        <w:rPr>
          <w:b/>
        </w:rPr>
        <w:t>Answer and Citation Evaluation Rubric</w:t>
      </w:r>
      <w:r>
        <w:t xml:space="preserve"> - scoring definitions for accuracy, grounding, citation, evidence-type interpretation, uncertainty, and safety.</w:t>
      </w:r>
    </w:p>
    <w:p>
      <w:pPr>
        <w:spacing w:after="80"/>
        <w:ind w:left="403" w:hanging="403"/>
      </w:pPr>
      <w:r>
        <w:t xml:space="preserve">5. </w:t>
      </w:r>
      <w:r>
        <w:rPr>
          <w:b/>
        </w:rPr>
        <w:t>Clinical Evaluation Report</w:t>
      </w:r>
      <w:r>
        <w:t xml:space="preserve"> - per-question outcomes, severity-ranked defects, counts/denominators, examples, and limitations.</w:t>
      </w:r>
    </w:p>
    <w:p>
      <w:pPr>
        <w:spacing w:after="80"/>
        <w:ind w:left="403" w:hanging="403"/>
      </w:pPr>
      <w:r>
        <w:t xml:space="preserve">6. </w:t>
      </w:r>
      <w:r>
        <w:rPr>
          <w:b/>
        </w:rPr>
        <w:t>Retest and Closure Record</w:t>
      </w:r>
      <w:r>
        <w:t xml:space="preserve"> - defects fixed, cases rerun, residual risks, and unresolved items.</w:t>
      </w:r>
    </w:p>
    <w:p>
      <w:pPr>
        <w:spacing w:after="80"/>
        <w:ind w:left="403" w:hanging="403"/>
      </w:pPr>
      <w:r>
        <w:t xml:space="preserve">7. </w:t>
      </w:r>
      <w:r>
        <w:rPr>
          <w:b/>
        </w:rPr>
        <w:t>Editor Demonstration Review</w:t>
      </w:r>
      <w:r>
        <w:t xml:space="preserve"> - approved talking points, demo cases to avoid, and disclosures about scope and limitations.</w:t>
      </w:r>
    </w:p>
    <w:p>
      <w:pPr>
        <w:spacing w:after="80"/>
        <w:ind w:left="403" w:hanging="403"/>
      </w:pPr>
      <w:r>
        <w:t xml:space="preserve">8. </w:t>
      </w:r>
      <w:r>
        <w:rPr>
          <w:b/>
        </w:rPr>
        <w:t>Clinical Adviser Sign-off or Non-sign-off Memo</w:t>
      </w:r>
      <w:r>
        <w:t xml:space="preserve"> - a clear statement of what was reviewed, the review sample, findings, and what remains outside the review.</w:t>
      </w:r>
    </w:p>
    <w:p>
      <w:r>
        <w:t>The adviser must not be asked to sign a blanket statement that the product is “clinically validated” based on a one-issue POC or a small set of questions.</w:t>
      </w:r>
    </w:p>
    <w:p>
      <w:pPr>
        <w:pStyle w:val="Heading1"/>
      </w:pPr>
      <w:r>
        <w:t>6. Suggested initial work plan</w:t>
      </w:r>
    </w:p>
    <w:p>
      <w:r>
        <w:t>The exact time commitment depends on availability and the volume of outputs. A practical starting engagement is a short, paid evaluation sprint over approximately 4-6 weeks, with a planning assumption of 2-4 hours per week plus review workshops. Confirm the actual effort with the candidate before agreeing to the scope.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Adviser activity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1. Orientation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Review intended use, current UI, corpus scope, existing Step 6 results, and data flow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Boundary comments and initial risk list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2. Corpus/context review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Inspect representative article types and selected extracted passages/pages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Corpus review log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3. Evaluation design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Review and expand questions; write expected sources and answer-essential facts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Clinician-reviewed Golden Test Set and rubric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4. Output review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Independently rate the selected generated answers and safety cases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Question-level clinical evaluation log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5. Defect review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Discuss severity, fixes, and retesting evidence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Retest and closure record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6. Demo preparation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Review the script, output examples, wording, and editor questions</w:t>
            </w:r>
          </w:p>
        </w:tc>
        <w:tc>
          <w:tcPr>
            <w:tcW w:type="dxa" w:w="33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2F5"/>
          </w:tcPr>
          <w:p>
            <w:pPr>
              <w:spacing w:after="20" w:line="240" w:lineRule="auto"/>
            </w:pPr>
            <w:r>
              <w:rPr>
                <w:sz w:val="18"/>
              </w:rPr>
              <w:t>Demonstration review and sign-off/non-sign-off memo</w:t>
            </w:r>
          </w:p>
        </w:tc>
      </w:tr>
    </w:tbl>
    <w:p>
      <w:pPr>
        <w:spacing w:after="20"/>
      </w:pPr>
    </w:p>
    <w:p>
      <w:pPr>
        <w:pStyle w:val="Heading1"/>
      </w:pPr>
      <w:r>
        <w:t>7. Candidate qualifications</w:t>
      </w:r>
    </w:p>
    <w:p>
      <w:pPr>
        <w:pStyle w:val="Heading2"/>
      </w:pPr>
      <w:r>
        <w:t>Required</w:t>
      </w:r>
    </w:p>
    <w:p>
      <w:pPr>
        <w:pStyle w:val="ListBullet"/>
        <w:spacing w:after="60"/>
      </w:pPr>
      <w:r>
        <w:t>Recognized medical qualification and postgraduate specialty training in Pediatrics (or an equivalent pediatric specialist qualification applicable to the candidate's jurisdiction).</w:t>
      </w:r>
    </w:p>
    <w:p>
      <w:pPr>
        <w:pStyle w:val="ListBullet"/>
        <w:spacing w:after="60"/>
      </w:pPr>
      <w:r>
        <w:t>Meaningful clinical experience caring for children; for this project, several years of post-specialty experience is preferred.</w:t>
      </w:r>
    </w:p>
    <w:p>
      <w:pPr>
        <w:pStyle w:val="ListBullet"/>
        <w:spacing w:after="60"/>
      </w:pPr>
      <w:r>
        <w:t>Ability to read pediatric clinical research critically and explain findings in plain language.</w:t>
      </w:r>
    </w:p>
    <w:p>
      <w:pPr>
        <w:pStyle w:val="ListBullet"/>
        <w:spacing w:after="60"/>
      </w:pPr>
      <w:r>
        <w:t>Familiarity with common study designs and limitations, including randomized trials, observational studies, systematic reviews, guidelines, and case reports.</w:t>
      </w:r>
    </w:p>
    <w:p>
      <w:pPr>
        <w:pStyle w:val="ListBullet"/>
        <w:spacing w:after="60"/>
      </w:pPr>
      <w:r>
        <w:t>Willingness to record uncertainty, disagree with the product team, and identify unsafe or unsupported claims.</w:t>
      </w:r>
    </w:p>
    <w:p>
      <w:pPr>
        <w:pStyle w:val="ListBullet"/>
        <w:spacing w:after="60"/>
      </w:pPr>
      <w:r>
        <w:t>Strong written and verbal communication with clinicians, researchers, and journal editors.</w:t>
      </w:r>
    </w:p>
    <w:p>
      <w:pPr>
        <w:pStyle w:val="ListBullet"/>
        <w:spacing w:after="60"/>
      </w:pPr>
      <w:r>
        <w:t>Willingness to disclose conflicts of interest and respect confidentiality and source-use restrictions.</w:t>
      </w:r>
    </w:p>
    <w:p>
      <w:pPr>
        <w:pStyle w:val="Heading2"/>
      </w:pPr>
      <w:r>
        <w:t>Strongly preferred</w:t>
      </w:r>
    </w:p>
    <w:p>
      <w:pPr>
        <w:pStyle w:val="ListBullet"/>
        <w:spacing w:after="60"/>
      </w:pPr>
      <w:r>
        <w:t>Experience as a journal peer reviewer, associate editor, editorial-board member, or author of pediatric research.</w:t>
      </w:r>
    </w:p>
    <w:p>
      <w:pPr>
        <w:pStyle w:val="ListBullet"/>
        <w:spacing w:after="60"/>
      </w:pPr>
      <w:r>
        <w:t>Training or practical experience in evidence-based medicine, epidemiology, biostatistics, systematic reviews, or clinical research methods.</w:t>
      </w:r>
    </w:p>
    <w:p>
      <w:pPr>
        <w:pStyle w:val="ListBullet"/>
        <w:spacing w:after="60"/>
      </w:pPr>
      <w:r>
        <w:t>Experience teaching residents, medical students, or researchers how to interpret evidence.</w:t>
      </w:r>
    </w:p>
    <w:p>
      <w:pPr>
        <w:pStyle w:val="ListBullet"/>
        <w:spacing w:after="60"/>
      </w:pPr>
      <w:r>
        <w:t>Familiarity with Indian pediatric practice, research settings, and the local relevance of pediatric literature.</w:t>
      </w:r>
    </w:p>
    <w:p>
      <w:pPr>
        <w:pStyle w:val="ListBullet"/>
        <w:spacing w:after="60"/>
      </w:pPr>
      <w:r>
        <w:t>Prior involvement in digital health, clinical informatics, AI evaluation, or responsible innovation (helpful but not required; coding is not required).</w:t>
      </w:r>
    </w:p>
    <w:p>
      <w:pPr>
        <w:pStyle w:val="Heading1"/>
      </w:pPr>
      <w:r>
        <w:t>8. Independence, conflicts, and working relationship</w:t>
      </w:r>
    </w:p>
    <w:p>
      <w:pPr>
        <w:pStyle w:val="ListBullet"/>
        <w:spacing w:after="60"/>
      </w:pPr>
      <w:r>
        <w:t>Engage the adviser under a written scope, fee, confidentiality terms, conflict disclosure, and attribution agreement.</w:t>
      </w:r>
    </w:p>
    <w:p>
      <w:pPr>
        <w:pStyle w:val="ListBullet"/>
        <w:spacing w:after="60"/>
      </w:pPr>
      <w:r>
        <w:t>Pay for review time; do not rely on informal unpaid sign-off for a high-stakes evaluation role.</w:t>
      </w:r>
    </w:p>
    <w:p>
      <w:pPr>
        <w:pStyle w:val="ListBullet"/>
        <w:spacing w:after="60"/>
      </w:pPr>
      <w:r>
        <w:t>Agree whether their name and qualifications may appear in a pitch, slide, or report. Do not imply journal, hospital, university, or professional-body endorsement without written permission.</w:t>
      </w:r>
    </w:p>
    <w:p>
      <w:pPr>
        <w:pStyle w:val="ListBullet"/>
        <w:spacing w:after="60"/>
      </w:pPr>
      <w:r>
        <w:t>Keep reviewer decisions and changes auditable. Preserve disagreements rather than editing them out.</w:t>
      </w:r>
    </w:p>
    <w:p>
      <w:pPr>
        <w:pStyle w:val="ListBullet"/>
        <w:spacing w:after="60"/>
      </w:pPr>
      <w:r>
        <w:t>The adviser reviews clinical content and evidence quality; the developer owns engineering and operational controls; the Product Owner owns scope and business decisions; the publisher/editor/legal adviser determines source permissions and editorial approval.</w:t>
      </w:r>
    </w:p>
    <w:p>
      <w:pPr>
        <w:pStyle w:val="Heading1"/>
      </w:pPr>
      <w:r>
        <w:t>9. Success measures for the engagement</w:t>
      </w:r>
    </w:p>
    <w:p>
      <w:pPr>
        <w:pStyle w:val="ListBullet"/>
        <w:spacing w:after="60"/>
      </w:pPr>
      <w:r>
        <w:t>Each reviewed question has an expected source and documented review outcome.</w:t>
      </w:r>
    </w:p>
    <w:p>
      <w:pPr>
        <w:pStyle w:val="ListBullet"/>
        <w:spacing w:after="60"/>
      </w:pPr>
      <w:r>
        <w:t>Every generated claim selected for review is checked against its cited passage, not only its citation syntax.</w:t>
      </w:r>
    </w:p>
    <w:p>
      <w:pPr>
        <w:pStyle w:val="ListBullet"/>
        <w:spacing w:after="60"/>
      </w:pPr>
      <w:r>
        <w:t>Critical and major errors are either fixed and retested or explicitly block the relevant demonstration claim.</w:t>
      </w:r>
    </w:p>
    <w:p>
      <w:pPr>
        <w:pStyle w:val="ListBullet"/>
        <w:spacing w:after="60"/>
      </w:pPr>
      <w:r>
        <w:t>Negative and patient-specific scenarios are evaluated and handled conservatively.</w:t>
      </w:r>
    </w:p>
    <w:p>
      <w:pPr>
        <w:pStyle w:val="ListBullet"/>
        <w:spacing w:after="60"/>
      </w:pPr>
      <w:r>
        <w:t>The editor walkthrough clearly states corpus scope, source provenance, external data flow, known limitations, and the review status.</w:t>
      </w:r>
    </w:p>
    <w:p>
      <w:pPr>
        <w:pStyle w:val="ListBullet"/>
        <w:spacing w:after="60"/>
      </w:pPr>
      <w:r>
        <w:t>No one presents this limited POC as clinical validation, treatment advice, complete archive coverage, or journal endorsement.</w:t>
      </w:r>
    </w:p>
    <w:p>
      <w:pPr>
        <w:pStyle w:val="Heading1"/>
      </w:pPr>
      <w:r>
        <w:t>10. Important boundaries of the role</w:t>
      </w:r>
    </w:p>
    <w:p>
      <w:r>
        <w:t>This adviser does not, solely by accepting this role:</w:t>
      </w:r>
    </w:p>
    <w:p>
      <w:pPr>
        <w:pStyle w:val="ListBullet"/>
        <w:spacing w:after="60"/>
      </w:pPr>
      <w:r>
        <w:t>Certify the product as clinically validated or safe for patient care.</w:t>
      </w:r>
    </w:p>
    <w:p>
      <w:pPr>
        <w:pStyle w:val="ListBullet"/>
        <w:spacing w:after="60"/>
      </w:pPr>
      <w:r>
        <w:t>Provide legal advice or confirm copyright, licensing, or publisher reuse rights.</w:t>
      </w:r>
    </w:p>
    <w:p>
      <w:pPr>
        <w:pStyle w:val="ListBullet"/>
        <w:spacing w:after="60"/>
      </w:pPr>
      <w:r>
        <w:t>Decide whether the final product is a regulated medical device or determine its regulatory pathway.</w:t>
      </w:r>
    </w:p>
    <w:p>
      <w:pPr>
        <w:pStyle w:val="ListBullet"/>
        <w:spacing w:after="60"/>
      </w:pPr>
      <w:r>
        <w:t>Guarantee that an LLM will not make errors or replace independent evaluation.</w:t>
      </w:r>
    </w:p>
    <w:p>
      <w:pPr>
        <w:pStyle w:val="ListBullet"/>
        <w:spacing w:after="60"/>
      </w:pPr>
      <w:r>
        <w:t>Approve deployment, security, API key management, privacy compliance, or commercial claims without the relevant expertise and evidence.</w:t>
      </w:r>
    </w:p>
    <w:p>
      <w:r>
        <w:t>If the intended use later moves from journal discovery toward diagnosis, patient-specific treatment recommendations, triage, or decision support, pause feature expansion and obtain a separate regulatory and clinical-safety assessment for the relevant market. In India, CDSCO publishes guidance relating to medical-device software; whether a particular product falls within a regulated category depends on the actual intended use and applicable rules and should be reviewed with qualified regulatory counsel.</w:t>
      </w:r>
    </w:p>
    <w:p>
      <w:pPr>
        <w:pStyle w:val="Heading1"/>
        <w:pageBreakBefore/>
      </w:pPr>
      <w:r>
        <w:t>11. Suggested interview questions</w:t>
      </w:r>
    </w:p>
    <w:p>
      <w:pPr>
        <w:spacing w:after="80"/>
        <w:ind w:left="403" w:hanging="403"/>
      </w:pPr>
      <w:r>
        <w:t>1. How would you decide whether a generated summary accurately represents a clinical study?</w:t>
      </w:r>
    </w:p>
    <w:p>
      <w:pPr>
        <w:spacing w:after="80"/>
        <w:ind w:left="403" w:hanging="403"/>
      </w:pPr>
      <w:r>
        <w:t>2. How would you evaluate whether each citation truly supports the sentence that cites it?</w:t>
      </w:r>
    </w:p>
    <w:p>
      <w:pPr>
        <w:spacing w:after="80"/>
        <w:ind w:left="403" w:hanging="403"/>
      </w:pPr>
      <w:r>
        <w:t>3. What kinds of pediatric literature questions should this POC refuse to answer?</w:t>
      </w:r>
    </w:p>
    <w:p>
      <w:pPr>
        <w:spacing w:after="80"/>
        <w:ind w:left="403" w:hanging="403"/>
      </w:pPr>
      <w:r>
        <w:t>4. How would you distinguish an original study from a commentary or guideline synopsis in a user-facing summary?</w:t>
      </w:r>
    </w:p>
    <w:p>
      <w:pPr>
        <w:spacing w:after="80"/>
        <w:ind w:left="403" w:hanging="403"/>
      </w:pPr>
      <w:r>
        <w:t>5. If the answer is plausible but the article passage does not support it, how would you document and prioritize the issue?</w:t>
      </w:r>
    </w:p>
    <w:p>
      <w:pPr>
        <w:spacing w:after="80"/>
        <w:ind w:left="403" w:hanging="403"/>
      </w:pPr>
      <w:r>
        <w:t>6. What would you need to see before allowing a controlled demonstration to journal editors?</w:t>
      </w:r>
    </w:p>
    <w:p>
      <w:pPr>
        <w:spacing w:after="80"/>
        <w:ind w:left="403" w:hanging="403"/>
      </w:pPr>
      <w:r>
        <w:t>7. How would you explain the system's limitations to editors without either overselling it or dismissing its potential?</w:t>
      </w:r>
    </w:p>
    <w:p>
      <w:pPr>
        <w:spacing w:after="80"/>
        <w:ind w:left="403" w:hanging="403"/>
      </w:pPr>
      <w:r>
        <w:t>8. What conflicts, affiliations, or source permissions should be disclosed before joining this project?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67788"/>
        <w:sz w:val="16"/>
      </w:rPr>
      <w:t xml:space="preserve">Clinical Lead Job Description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Lead Job Description</dc:title>
  <dc:subject>Pediatrics and evidence quality adviser for the Medical Journal Literature Assistant POC</dc:subject>
  <dc:creator>python-docx</dc:creator>
  <cp:keywords>Pediatrics, clinical evaluation, evidence quality, AI literature assistant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