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8B0000"/>
          <w:sz w:val="20"/>
        </w:rPr>
        <w:t>FINAL YEAR PROJECT TECHNICAL DOCUMENTATION</w:t>
        <w:br/>
      </w:r>
      <w:r>
        <w:rPr>
          <w:rFonts w:ascii="Calibri" w:hAnsi="Calibri"/>
          <w:b/>
          <w:color w:val="8B0000"/>
          <w:sz w:val="48"/>
        </w:rPr>
        <w:t>British Sign Language (BSL) Neural Translation &amp; 3D Avatar System</w:t>
      </w:r>
    </w:p>
    <w:p>
      <w:pPr>
        <w:spacing w:before="40" w:after="240"/>
      </w:pPr>
      <w:r>
        <w:rPr>
          <w:rFonts w:ascii="Calibri" w:hAnsi="Calibri"/>
          <w:i/>
          <w:color w:val="4B5563"/>
          <w:sz w:val="26"/>
        </w:rPr>
        <w:t>End-to-End Video-to-HamNoSys Multi-Modal Neural Synthesis &amp; SiGML WebGL Avatar Generation</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8FAFC"/>
            <w:tcMar>
              <w:top w:w="120" w:type="dxa"/>
              <w:bottom w:w="120" w:type="dxa"/>
              <w:left w:w="150" w:type="dxa"/>
              <w:right w:w="150" w:type="dxa"/>
            </w:tcMar>
          </w:tcPr>
          <w:p>
            <w:pPr>
              <w:spacing w:after="0"/>
            </w:pPr>
            <w:r>
              <w:rPr>
                <w:b/>
                <w:color w:val="64748B"/>
                <w:sz w:val="17"/>
              </w:rPr>
              <w:t>PROJECT REPOSITORY</w:t>
              <w:br/>
            </w:r>
            <w:r>
              <w:rPr>
                <w:b/>
                <w:color w:val="1E293B"/>
                <w:sz w:val="20"/>
              </w:rPr>
              <w:t>Avatar-Generator-FYP-</w:t>
            </w:r>
          </w:p>
        </w:tc>
        <w:tc>
          <w:tcPr>
            <w:tcW w:type="dxa" w:w="3120"/>
            <w:shd w:fill="F8FAFC"/>
            <w:tcMar>
              <w:top w:w="120" w:type="dxa"/>
              <w:bottom w:w="120" w:type="dxa"/>
              <w:left w:w="150" w:type="dxa"/>
              <w:right w:w="150" w:type="dxa"/>
            </w:tcMar>
          </w:tcPr>
          <w:p>
            <w:pPr>
              <w:spacing w:after="0"/>
            </w:pPr>
            <w:r>
              <w:rPr>
                <w:b/>
                <w:color w:val="64748B"/>
                <w:sz w:val="17"/>
              </w:rPr>
              <w:t>DATASET REPOSITORY</w:t>
              <w:br/>
            </w:r>
            <w:r>
              <w:rPr>
                <w:b/>
                <w:color w:val="1E293B"/>
                <w:sz w:val="20"/>
              </w:rPr>
              <w:t>BSLDict (13,261 Videos)</w:t>
            </w:r>
          </w:p>
        </w:tc>
        <w:tc>
          <w:tcPr>
            <w:tcW w:type="dxa" w:w="3120"/>
            <w:shd w:fill="F8FAFC"/>
            <w:tcMar>
              <w:top w:w="120" w:type="dxa"/>
              <w:bottom w:w="120" w:type="dxa"/>
              <w:left w:w="150" w:type="dxa"/>
              <w:right w:w="150" w:type="dxa"/>
            </w:tcMar>
          </w:tcPr>
          <w:p>
            <w:pPr>
              <w:spacing w:after="0"/>
            </w:pPr>
            <w:r>
              <w:rPr>
                <w:b/>
                <w:color w:val="64748B"/>
                <w:sz w:val="17"/>
              </w:rPr>
              <w:t>SUBMISSION DATE</w:t>
              <w:br/>
            </w:r>
            <w:r>
              <w:rPr>
                <w:b/>
                <w:color w:val="1E293B"/>
                <w:sz w:val="20"/>
              </w:rPr>
              <w:t>September 2026</w:t>
            </w:r>
          </w:p>
        </w:tc>
      </w:tr>
    </w:tbl>
    <w:p>
      <w:pPr>
        <w:spacing w:after="200"/>
      </w:pPr>
    </w:p>
    <w:p>
      <w:pPr>
        <w:keepNext/>
        <w:spacing w:before="360" w:after="120"/>
      </w:pPr>
      <w:r>
        <w:rPr>
          <w:rFonts w:ascii="Calibri" w:hAnsi="Calibri"/>
          <w:b/>
          <w:color w:val="8B0000"/>
          <w:sz w:val="32"/>
        </w:rPr>
        <w:t>1. Executive Summary</w:t>
      </w:r>
    </w:p>
    <w:p>
      <w:pPr>
        <w:spacing w:after="120" w:line="276" w:lineRule="auto"/>
      </w:pPr>
      <w:r>
        <w:rPr>
          <w:color w:val="1E293B"/>
        </w:rPr>
        <w:t>This project implements an end-to-end computer vision and deep learning system that translates continuous and isolated British Sign Language (BSL) videos into Hamburg Sign Language Notation System (HamNoSys) phonetic codes, subsequently synthesizing them into Signing Gesture Markup Language (SiGML XML) to drive a live 3D WebGL Avatar (JASigning CWASA) in real time.</w:t>
      </w:r>
    </w:p>
    <w:p>
      <w:pPr>
        <w:spacing w:after="120" w:line="276" w:lineRule="auto"/>
      </w:pPr>
      <w:r>
        <w:rPr>
          <w:b/>
          <w:color w:val="1E293B"/>
        </w:rPr>
        <w:t>Key Milestones:</w:t>
        <w:br/>
      </w:r>
      <w:r>
        <w:rPr>
          <w:color w:val="1E293B"/>
        </w:rPr>
        <w:t>� BSLDict Dataset Integration: Downloaded, validated, and indexed 13,261 video clips spanning 9,261 unique BSL words and signs (~1.84 GB).</w:t>
      </w:r>
    </w:p>
    <w:p>
      <w:pPr>
        <w:spacing w:after="120" w:line="276" w:lineRule="auto"/>
      </w:pPr>
      <w:r>
        <w:rPr>
          <w:color w:val="1E293B"/>
        </w:rPr>
        <w:t>� Deep Residual Handshape Classifier (HandshapeMLP): Trained a deep neural network on normalized 3D hand landmarks, achieving 100.00% validation accuracy across all 14 canonical HamNoSys handshape classes.</w:t>
      </w:r>
    </w:p>
    <w:p>
      <w:pPr>
        <w:spacing w:after="120" w:line="276" w:lineRule="auto"/>
      </w:pPr>
      <w:r>
        <w:rPr>
          <w:color w:val="1E293B"/>
        </w:rPr>
        <w:t>� Dual-Hand Tracking &amp; Bi-Manual Grammar: Upgraded the vision pipeline to complete bi-manual multi-hand recognition, supporting symmetric signs (hamsymmlr) and dual-handed base-and-active signs (hamparbegin ... hamplus ... hamparend).</w:t>
      </w:r>
    </w:p>
    <w:p>
      <w:pPr>
        <w:spacing w:after="120" w:line="276" w:lineRule="auto"/>
      </w:pPr>
      <w:r>
        <w:rPr>
          <w:color w:val="1E293B"/>
        </w:rPr>
        <w:t>� Standalone NumPy Vectorized Inference Engine: Exported model weights for sub-millisecond per-frame evaluation without requiring heavy runtime frameworks.</w:t>
      </w:r>
    </w:p>
    <w:p>
      <w:pPr>
        <w:spacing w:after="120" w:line="276" w:lineRule="auto"/>
      </w:pPr>
      <w:r>
        <w:rPr>
          <w:color w:val="1E293B"/>
        </w:rPr>
        <w:t>� Synchronized WebGL Dashboard: Modernized the web interface so analysis outputs appear strictly after video processing is completed.</w:t>
      </w:r>
    </w:p>
    <w:p>
      <w:pPr>
        <w:keepNext/>
        <w:spacing w:before="360" w:after="120"/>
      </w:pPr>
      <w:r>
        <w:rPr>
          <w:rFonts w:ascii="Calibri" w:hAnsi="Calibri"/>
          <w:b/>
          <w:color w:val="8B0000"/>
          <w:sz w:val="32"/>
        </w:rPr>
        <w:t>2. Dataset Overview &amp; Ingestion (BSLDict)</w:t>
      </w:r>
    </w:p>
    <w:p>
      <w:pPr>
        <w:spacing w:after="120" w:line="276" w:lineRule="auto"/>
      </w:pPr>
      <w:r>
        <w:rPr>
          <w:color w:val="1E293B"/>
        </w:rPr>
        <w:t>The dataset used is BSLDict (Watch, Read and Lookup: Learning to Spot Signs from Multiple Supervisors, Gul Varol et al., ACCV 2020 / Oxford Visual Geometry Group).</w:t>
      </w:r>
    </w:p>
    <w:p>
      <w:pPr>
        <w:spacing w:after="120" w:line="276" w:lineRule="auto"/>
      </w:pPr>
      <w:r>
        <w:rPr>
          <w:b/>
          <w:color w:val="1E293B"/>
        </w:rPr>
        <w:t>Dataset Specifications:</w:t>
        <w:br/>
      </w:r>
      <w:r>
        <w:rPr>
          <w:color w:val="1E293B"/>
        </w:rPr>
        <w:t>� Total Downloaded Videos: 13,261 MP4 files</w:t>
      </w:r>
    </w:p>
    <w:p>
      <w:pPr>
        <w:spacing w:after="120" w:line="276" w:lineRule="auto"/>
      </w:pPr>
      <w:r>
        <w:rPr>
          <w:color w:val="1E293B"/>
        </w:rPr>
        <w:t>� Total Lexical Glosses: 9,261 unique British Sign Language words and phrases</w:t>
      </w:r>
    </w:p>
    <w:p>
      <w:pPr>
        <w:spacing w:after="120" w:line="276" w:lineRule="auto"/>
      </w:pPr>
      <w:r>
        <w:rPr>
          <w:color w:val="1E293B"/>
        </w:rPr>
        <w:t>� Dataset Storage Location: bsldict/bsldict/videos_original/</w:t>
      </w:r>
    </w:p>
    <w:p>
      <w:pPr>
        <w:spacing w:after="120" w:line="276" w:lineRule="auto"/>
      </w:pPr>
      <w:r>
        <w:rPr>
          <w:color w:val="1E293B"/>
        </w:rPr>
        <w:t>� Ingestion Script: download_bsldict.py / download_videos_windows.py with chunked streaming and retry logic.</w:t>
      </w:r>
    </w:p>
    <w:p>
      <w:pPr>
        <w:keepNext/>
        <w:spacing w:before="360" w:after="120"/>
      </w:pPr>
      <w:r>
        <w:rPr>
          <w:rFonts w:ascii="Calibri" w:hAnsi="Calibri"/>
          <w:b/>
          <w:color w:val="8B0000"/>
          <w:sz w:val="32"/>
        </w:rPr>
        <w:t>3. Deep Neural Network Architectures &amp; Training</w:t>
      </w:r>
    </w:p>
    <w:p>
      <w:pPr>
        <w:keepNext/>
        <w:spacing w:before="240" w:after="80"/>
      </w:pPr>
      <w:r>
        <w:rPr>
          <w:rFonts w:ascii="Calibri" w:hAnsi="Calibri"/>
          <w:b/>
          <w:color w:val="1E3A8A"/>
          <w:sz w:val="26"/>
        </w:rPr>
        <w:t>3.1 Handshape Neural Classifier (HandshapeMLP)</w:t>
      </w:r>
    </w:p>
    <w:p>
      <w:pPr>
        <w:spacing w:after="120" w:line="276" w:lineRule="auto"/>
      </w:pPr>
      <w:r>
        <w:rPr>
          <w:color w:val="1E293B"/>
        </w:rPr>
        <w:t>The handshape classifier processes 21 normalized 3D hand keypoints (63 feature dimensions) extracted via MediaPipe Hands. Landmarks are centered at the wrist (joint 0) and scaled by the maximum span, making the feature representation invariant to camera distance and signer hand dimensions.</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Input: 21 Normalized 3D Hand Landmarks (63 Dimensions)</w:t>
              <w:br/>
              <w:t xml:space="preserve">  +-- Linear(63 ? 256) + BatchNorm1d + LeakyReLU(0.1) + Dropout(0.2)</w:t>
              <w:br/>
              <w:t xml:space="preserve">  +-- ResBlock 1: Linear(256 ? 256) + BatchNorm + LeakyReLU + Linear(256 ? 256) + Residual</w:t>
              <w:br/>
              <w:t xml:space="preserve">  +-- ResBlock 2: Linear(256 ? 256) + BatchNorm + LeakyReLU + Linear(256 ? 256) + Residual</w:t>
              <w:br/>
              <w:t xml:space="preserve">  +-- Linear(256 ? 128) + BatchNorm1d + LeakyReLU(0.1) + Dropout(0.2)</w:t>
              <w:br/>
              <w:t xml:space="preserve">  +-- Classifier Linear(128 ? 14 Classes) ? Softmax</w:t>
            </w:r>
          </w:p>
        </w:tc>
      </w:tr>
    </w:tbl>
    <w:p>
      <w:pPr>
        <w:keepNext/>
        <w:spacing w:before="240" w:after="80"/>
      </w:pPr>
      <w:r>
        <w:rPr>
          <w:rFonts w:ascii="Calibri" w:hAnsi="Calibri"/>
          <w:b/>
          <w:color w:val="1E3A8A"/>
          <w:sz w:val="26"/>
        </w:rPr>
        <w:t>3.2 Movement Sequence Classifier (MovementSeqNet)</w:t>
      </w:r>
    </w:p>
    <w:p>
      <w:pPr>
        <w:spacing w:after="120" w:line="276" w:lineRule="auto"/>
      </w:pPr>
      <w:r>
        <w:rPr>
          <w:color w:val="1E293B"/>
        </w:rPr>
        <w:t>Processes dynamic 3D wrist and finger trajectory sequences over a 32-timestep sliding window (6 features per timestep: [x, y, z, vx, vy, vz]) using a 2-layer Bidirectional GRU with temporal global pooling to classify HamNoSys movement strokes.</w:t>
      </w:r>
    </w:p>
    <w:p>
      <w:pPr>
        <w:keepNext/>
        <w:spacing w:before="360" w:after="120"/>
      </w:pPr>
      <w:r>
        <w:rPr>
          <w:rFonts w:ascii="Calibri" w:hAnsi="Calibri"/>
          <w:b/>
          <w:color w:val="8B0000"/>
          <w:sz w:val="32"/>
        </w:rPr>
        <w:t>4. Experimental Results &amp; Validation Benchmarks</w:t>
      </w:r>
    </w:p>
    <w:p>
      <w:pPr>
        <w:spacing w:after="120" w:line="276" w:lineRule="auto"/>
      </w:pPr>
      <w:r>
        <w:rPr>
          <w:color w:val="1E293B"/>
        </w:rPr>
        <w:t>The HandshapeMLP model was evaluated on a 20% stratified hold-out test split of 4,200 augmented 3D landmark samples across all 14 canonical classes: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F1F5F9"/>
            <w:tcMar>
              <w:top w:w="80" w:type="dxa"/>
              <w:bottom w:w="80" w:type="dxa"/>
              <w:left w:w="100" w:type="dxa"/>
              <w:right w:w="100" w:type="dxa"/>
            </w:tcMar>
          </w:tcPr>
          <w:p>
            <w:r>
              <w:rPr>
                <w:b/>
                <w:color w:val="8B0000"/>
                <w:sz w:val="18"/>
              </w:rPr>
              <w:t>HamNoSys Handshape Class</w:t>
            </w:r>
          </w:p>
        </w:tc>
        <w:tc>
          <w:tcPr>
            <w:tcW w:type="dxa" w:w="1872"/>
            <w:shd w:fill="F1F5F9"/>
            <w:tcMar>
              <w:top w:w="80" w:type="dxa"/>
              <w:bottom w:w="80" w:type="dxa"/>
              <w:left w:w="100" w:type="dxa"/>
              <w:right w:w="100" w:type="dxa"/>
            </w:tcMar>
          </w:tcPr>
          <w:p>
            <w:r>
              <w:rPr>
                <w:b/>
                <w:color w:val="8B0000"/>
                <w:sz w:val="18"/>
              </w:rPr>
              <w:t>Precision</w:t>
            </w:r>
          </w:p>
        </w:tc>
        <w:tc>
          <w:tcPr>
            <w:tcW w:type="dxa" w:w="1872"/>
            <w:shd w:fill="F1F5F9"/>
            <w:tcMar>
              <w:top w:w="80" w:type="dxa"/>
              <w:bottom w:w="80" w:type="dxa"/>
              <w:left w:w="100" w:type="dxa"/>
              <w:right w:w="100" w:type="dxa"/>
            </w:tcMar>
          </w:tcPr>
          <w:p>
            <w:r>
              <w:rPr>
                <w:b/>
                <w:color w:val="8B0000"/>
                <w:sz w:val="18"/>
              </w:rPr>
              <w:t>Recall</w:t>
            </w:r>
          </w:p>
        </w:tc>
        <w:tc>
          <w:tcPr>
            <w:tcW w:type="dxa" w:w="1872"/>
            <w:shd w:fill="F1F5F9"/>
            <w:tcMar>
              <w:top w:w="80" w:type="dxa"/>
              <w:bottom w:w="80" w:type="dxa"/>
              <w:left w:w="100" w:type="dxa"/>
              <w:right w:w="100" w:type="dxa"/>
            </w:tcMar>
          </w:tcPr>
          <w:p>
            <w:r>
              <w:rPr>
                <w:b/>
                <w:color w:val="8B0000"/>
                <w:sz w:val="18"/>
              </w:rPr>
              <w:t>F1-Score</w:t>
            </w:r>
          </w:p>
        </w:tc>
        <w:tc>
          <w:tcPr>
            <w:tcW w:type="dxa" w:w="1872"/>
            <w:shd w:fill="F1F5F9"/>
            <w:tcMar>
              <w:top w:w="80" w:type="dxa"/>
              <w:bottom w:w="80" w:type="dxa"/>
              <w:left w:w="100" w:type="dxa"/>
              <w:right w:w="100" w:type="dxa"/>
            </w:tcMar>
          </w:tcPr>
          <w:p>
            <w:r>
              <w:rPr>
                <w:b/>
                <w:color w:val="8B0000"/>
                <w:sz w:val="18"/>
              </w:rPr>
              <w:t>Support</w:t>
            </w:r>
          </w:p>
        </w:tc>
      </w:tr>
      <w:tr>
        <w:tc>
          <w:tcPr>
            <w:tcW w:type="dxa" w:w="1872"/>
            <w:tcMar>
              <w:top w:w="60" w:type="dxa"/>
              <w:bottom w:w="60" w:type="dxa"/>
              <w:left w:w="100" w:type="dxa"/>
              <w:right w:w="100" w:type="dxa"/>
            </w:tcMar>
          </w:tcPr>
          <w:p>
            <w:pPr>
              <w:spacing w:after="0"/>
            </w:pPr>
            <w:r>
              <w:rPr>
                <w:sz w:val="17"/>
              </w:rPr>
              <w:t>hamflathand (Flat Hand)</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hamfist (Closed Fist)</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hamfinger2 (Index Extended)</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hamfinger23 (V-Shape)</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hamfinger2345 (Open 4/5 Fingers)</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hamfinger23spread (V-Spread)</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hampinch12 (Index-Thumb Pinch)</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hampinchall (All-Finger Pinch)</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hamcee12 (Index-Thumb C-Shape)</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hamceeall (All-Finger C-Shape)</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hamdoublebent (Double Bent)</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hamthumboutmod (Thumb Outward)</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tcMar>
              <w:top w:w="60" w:type="dxa"/>
              <w:bottom w:w="60" w:type="dxa"/>
              <w:left w:w="100" w:type="dxa"/>
              <w:right w:w="100" w:type="dxa"/>
            </w:tcMar>
          </w:tcPr>
          <w:p>
            <w:pPr>
              <w:spacing w:after="0"/>
            </w:pPr>
            <w:r>
              <w:rPr>
                <w:sz w:val="17"/>
              </w:rPr>
              <w:t>hamthumbopenmod (Thumb Open)</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1.0000</w:t>
            </w:r>
          </w:p>
        </w:tc>
        <w:tc>
          <w:tcPr>
            <w:tcW w:type="dxa" w:w="1872"/>
            <w:tcMar>
              <w:top w:w="60" w:type="dxa"/>
              <w:bottom w:w="60" w:type="dxa"/>
              <w:left w:w="100" w:type="dxa"/>
              <w:right w:w="100" w:type="dxa"/>
            </w:tcMar>
          </w:tcPr>
          <w:p>
            <w:pPr>
              <w:spacing w:after="0"/>
            </w:pPr>
            <w:r>
              <w:rPr>
                <w:sz w:val="17"/>
              </w:rPr>
              <w:t>300</w:t>
            </w:r>
          </w:p>
        </w:tc>
      </w:tr>
      <w:tr>
        <w:tc>
          <w:tcPr>
            <w:tcW w:type="dxa" w:w="1872"/>
            <w:shd w:fill="F8FAFC"/>
            <w:tcMar>
              <w:top w:w="60" w:type="dxa"/>
              <w:bottom w:w="60" w:type="dxa"/>
              <w:left w:w="100" w:type="dxa"/>
              <w:right w:w="100" w:type="dxa"/>
            </w:tcMar>
          </w:tcPr>
          <w:p>
            <w:pPr>
              <w:spacing w:after="0"/>
            </w:pPr>
            <w:r>
              <w:rPr>
                <w:sz w:val="17"/>
              </w:rPr>
              <w:t>hamthumbacrossmod (Thumb Across)</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1.0000</w:t>
            </w:r>
          </w:p>
        </w:tc>
        <w:tc>
          <w:tcPr>
            <w:tcW w:type="dxa" w:w="1872"/>
            <w:shd w:fill="F8FAFC"/>
            <w:tcMar>
              <w:top w:w="60" w:type="dxa"/>
              <w:bottom w:w="60" w:type="dxa"/>
              <w:left w:w="100" w:type="dxa"/>
              <w:right w:w="100" w:type="dxa"/>
            </w:tcMar>
          </w:tcPr>
          <w:p>
            <w:pPr>
              <w:spacing w:after="0"/>
            </w:pPr>
            <w:r>
              <w:rPr>
                <w:sz w:val="17"/>
              </w:rPr>
              <w:t>300</w:t>
            </w:r>
          </w:p>
        </w:tc>
      </w:tr>
      <w:tr>
        <w:tc>
          <w:tcPr>
            <w:tcW w:type="dxa" w:w="1872"/>
            <w:shd w:fill="FEF2F2"/>
            <w:tcMar>
              <w:top w:w="60" w:type="dxa"/>
              <w:bottom w:w="60" w:type="dxa"/>
              <w:left w:w="100" w:type="dxa"/>
              <w:right w:w="100" w:type="dxa"/>
            </w:tcMar>
          </w:tcPr>
          <w:p>
            <w:pPr>
              <w:spacing w:after="0"/>
            </w:pPr>
            <w:r>
              <w:rPr>
                <w:b/>
                <w:color w:val="8B0000"/>
                <w:sz w:val="17"/>
              </w:rPr>
              <w:t>Overall Validation Accuracy</w:t>
            </w:r>
          </w:p>
        </w:tc>
        <w:tc>
          <w:tcPr>
            <w:tcW w:type="dxa" w:w="1872"/>
            <w:shd w:fill="FEF2F2"/>
            <w:tcMar>
              <w:top w:w="60" w:type="dxa"/>
              <w:bottom w:w="60" w:type="dxa"/>
              <w:left w:w="100" w:type="dxa"/>
              <w:right w:w="100" w:type="dxa"/>
            </w:tcMar>
          </w:tcPr>
          <w:p>
            <w:pPr>
              <w:spacing w:after="0"/>
            </w:pPr>
            <w:r>
              <w:rPr>
                <w:b/>
                <w:color w:val="8B0000"/>
                <w:sz w:val="17"/>
              </w:rPr>
              <w:t>1.0000</w:t>
            </w:r>
          </w:p>
        </w:tc>
        <w:tc>
          <w:tcPr>
            <w:tcW w:type="dxa" w:w="1872"/>
            <w:shd w:fill="FEF2F2"/>
            <w:tcMar>
              <w:top w:w="60" w:type="dxa"/>
              <w:bottom w:w="60" w:type="dxa"/>
              <w:left w:w="100" w:type="dxa"/>
              <w:right w:w="100" w:type="dxa"/>
            </w:tcMar>
          </w:tcPr>
          <w:p>
            <w:pPr>
              <w:spacing w:after="0"/>
            </w:pPr>
            <w:r>
              <w:rPr>
                <w:b/>
                <w:color w:val="8B0000"/>
                <w:sz w:val="17"/>
              </w:rPr>
              <w:t>1.0000</w:t>
            </w:r>
          </w:p>
        </w:tc>
        <w:tc>
          <w:tcPr>
            <w:tcW w:type="dxa" w:w="1872"/>
            <w:shd w:fill="FEF2F2"/>
            <w:tcMar>
              <w:top w:w="60" w:type="dxa"/>
              <w:bottom w:w="60" w:type="dxa"/>
              <w:left w:w="100" w:type="dxa"/>
              <w:right w:w="100" w:type="dxa"/>
            </w:tcMar>
          </w:tcPr>
          <w:p>
            <w:pPr>
              <w:spacing w:after="0"/>
            </w:pPr>
            <w:r>
              <w:rPr>
                <w:b/>
                <w:color w:val="8B0000"/>
                <w:sz w:val="17"/>
              </w:rPr>
              <w:t>1.0000</w:t>
            </w:r>
          </w:p>
        </w:tc>
        <w:tc>
          <w:tcPr>
            <w:tcW w:type="dxa" w:w="1872"/>
            <w:shd w:fill="FEF2F2"/>
            <w:tcMar>
              <w:top w:w="60" w:type="dxa"/>
              <w:bottom w:w="60" w:type="dxa"/>
              <w:left w:w="100" w:type="dxa"/>
              <w:right w:w="100" w:type="dxa"/>
            </w:tcMar>
          </w:tcPr>
          <w:p>
            <w:pPr>
              <w:spacing w:after="0"/>
            </w:pPr>
            <w:r>
              <w:rPr>
                <w:b/>
                <w:color w:val="8B0000"/>
                <w:sz w:val="17"/>
              </w:rPr>
              <w:t>4,200</w:t>
            </w:r>
          </w:p>
        </w:tc>
      </w:tr>
    </w:tbl>
    <w:p>
      <w:pPr>
        <w:keepNext/>
        <w:spacing w:before="360" w:after="120"/>
      </w:pPr>
      <w:r>
        <w:rPr>
          <w:rFonts w:ascii="Calibri" w:hAnsi="Calibri"/>
          <w:b/>
          <w:color w:val="8B0000"/>
          <w:sz w:val="32"/>
        </w:rPr>
        <w:t>5. Dual-Hand Tracking &amp; Bi-Manual Grammar</w:t>
      </w:r>
    </w:p>
    <w:p>
      <w:pPr>
        <w:spacing w:after="120" w:line="276" w:lineRule="auto"/>
      </w:pPr>
      <w:r>
        <w:rPr>
          <w:color w:val="1E293B"/>
        </w:rPr>
        <w:t>Sign language relies extensively on two-handed gestures. The vision pipeline was upgraded with dual-hand tracking (max_num_hands=2) and bi-manual grammar synthesis:</w:t>
      </w:r>
    </w:p>
    <w:p>
      <w:pPr>
        <w:spacing w:after="120" w:line="276" w:lineRule="auto"/>
      </w:pPr>
      <w:r>
        <w:rPr>
          <w:b/>
          <w:color w:val="1E293B"/>
        </w:rPr>
        <w:t>1. Symmetric Signs:</w:t>
        <w:br/>
      </w:r>
      <w:r>
        <w:rPr>
          <w:color w:val="1E293B"/>
        </w:rPr>
        <w:t>� Two-Handed Symmetric Signs (e.g. abbreviate): Prepend hamsymmlr. Both hands perform the same shape at shoulder level and move synchronously inward in space.</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HamNoSys: hamsymmlr hamcee12 hamextfingeru hampalml hamshoulders hamclose hammovel</w:t>
            </w:r>
          </w:p>
        </w:tc>
      </w:tr>
    </w:tbl>
    <w:p>
      <w:pPr>
        <w:spacing w:after="120" w:line="276" w:lineRule="auto"/>
      </w:pPr>
      <w:r>
        <w:rPr>
          <w:b/>
          <w:color w:val="1E293B"/>
        </w:rPr>
        <w:t>2. Asymmetric Signs:</w:t>
        <w:br/>
      </w:r>
      <w:r>
        <w:rPr>
          <w:color w:val="1E293B"/>
        </w:rPr>
        <w:t>� Two-Handed Asymmetric Signs (e.g. absolute-zero): Construct parallel streams with hamparbegin [RightHand] hamplus [LeftHand] hamparend. The right active hand performs the C/zero shape moving down to touch the left flat base hand.</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HamNoSys: hamparbegin hamceeall hamextfingerd hampalml hamplus hamflathand hamextfingero hampalmu hamparend hamchest hamtouch hammoved</w:t>
            </w:r>
          </w:p>
        </w:tc>
      </w:tr>
    </w:tbl>
    <w:p>
      <w:pPr>
        <w:keepNext/>
        <w:spacing w:before="360" w:after="120"/>
      </w:pPr>
      <w:r>
        <w:rPr>
          <w:rFonts w:ascii="Calibri" w:hAnsi="Calibri"/>
          <w:b/>
          <w:color w:val="8B0000"/>
          <w:sz w:val="32"/>
        </w:rPr>
        <w:t>6. SiGML XML 3D Avatar Compilation</w:t>
      </w:r>
    </w:p>
    <w:p>
      <w:pPr>
        <w:spacing w:after="120" w:line="276" w:lineRule="auto"/>
      </w:pPr>
      <w:r>
        <w:rPr>
          <w:color w:val="1E293B"/>
        </w:rPr>
        <w:t>HamNoSys tokens are translated into Unicode glyphs via conversionSpreadSheet.txt and compiled into Signing Gesture Markup Language (SiGML XML) by HamNoSys2SiGML.py:</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&lt;?xml version="1.0" encoding="UTF-8"?&gt;</w:t>
              <w:br/>
              <w:t>&lt;sigml&gt;</w:t>
              <w:br/>
              <w:t xml:space="preserve">    &lt;hns_sign&gt;</w:t>
              <w:br/>
              <w:t xml:space="preserve">        &lt;hamnosys_nonmanual/&gt;</w:t>
              <w:br/>
              <w:t xml:space="preserve">        &lt;hamnosys_manual&gt;</w:t>
              <w:br/>
              <w:t xml:space="preserve">            &lt;hamsymmlr/&gt;</w:t>
              <w:br/>
              <w:t xml:space="preserve">            &lt;hamcee12/&gt;</w:t>
              <w:br/>
              <w:t xml:space="preserve">            &lt;hamextfingeru/&gt;</w:t>
              <w:br/>
              <w:t xml:space="preserve">            &lt;hampalml/&gt;</w:t>
              <w:br/>
              <w:t xml:space="preserve">            &lt;hamshoulders/&gt;</w:t>
              <w:br/>
              <w:t xml:space="preserve">            &lt;hamclose/&gt;</w:t>
              <w:br/>
              <w:t xml:space="preserve">            &lt;hammovel/&gt;</w:t>
              <w:br/>
              <w:t xml:space="preserve">        &lt;/hamnosys_manual&gt;</w:t>
              <w:br/>
              <w:t xml:space="preserve">    &lt;/hns_sign&gt;</w:t>
              <w:br/>
              <w:t>&lt;/sigml&gt;</w:t>
            </w:r>
          </w:p>
        </w:tc>
      </w:tr>
    </w:tbl>
    <w:p>
      <w:pPr>
        <w:keepNext/>
        <w:spacing w:before="360" w:after="120"/>
      </w:pPr>
      <w:r>
        <w:rPr>
          <w:rFonts w:ascii="Calibri" w:hAnsi="Calibri"/>
          <w:b/>
          <w:color w:val="8B0000"/>
          <w:sz w:val="32"/>
        </w:rPr>
        <w:t>7. Execution Guide &amp; Terminal Commands</w:t>
      </w:r>
    </w:p>
    <w:p>
      <w:pPr>
        <w:spacing w:after="120" w:line="276" w:lineRule="auto"/>
      </w:pPr>
      <w:r>
        <w:rPr>
          <w:b/>
          <w:color w:val="1E293B"/>
        </w:rPr>
        <w:t xml:space="preserve">Step 1: </w:t>
      </w:r>
      <w:r>
        <w:rPr>
          <w:color w:val="1E293B"/>
        </w:rPr>
        <w:t>1. Test Pipeline on Any BSL Video via CLI:</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cd "Integration-20260706T062240Z-3-001\Integration"</w:t>
              <w:br/>
              <w:t>py -3.12 run_local.py "bsldict\bsldict\videos_original\a_001_009_000_abbreviate.mp4"</w:t>
            </w:r>
          </w:p>
        </w:tc>
      </w:tr>
    </w:tbl>
    <w:p>
      <w:pPr>
        <w:spacing w:after="120" w:line="276" w:lineRule="auto"/>
      </w:pPr>
      <w:r>
        <w:rPr>
          <w:b/>
          <w:color w:val="1E293B"/>
        </w:rPr>
        <w:t xml:space="preserve">Step 2: </w:t>
      </w:r>
      <w:r>
        <w:rPr>
          <w:color w:val="1E293B"/>
        </w:rPr>
        <w:t>2. Launch Web Application &amp; 3D Avatar Server:</w:t>
      </w:r>
    </w:p>
    <w:p>
      <w:pPr>
        <w:spacing w:before="80" w:after="12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after="0"/>
            </w:pPr>
            <w:r>
              <w:rPr>
                <w:rFonts w:ascii="Consolas" w:hAnsi="Consolas"/>
                <w:color w:val="0F172A"/>
                <w:sz w:val="19"/>
              </w:rPr>
              <w:t>cd "..\..\webapp"</w:t>
              <w:br/>
              <w:t>py -3.12 app.py</w:t>
            </w:r>
          </w:p>
        </w:tc>
      </w:tr>
    </w:tbl>
    <w:p>
      <w:pPr>
        <w:spacing w:after="120" w:line="276" w:lineRule="auto"/>
      </w:pPr>
      <w:r>
        <w:rPr>
          <w:b/>
          <w:color w:val="1E293B"/>
        </w:rPr>
        <w:t xml:space="preserve">Step 3: </w:t>
      </w:r>
      <w:r>
        <w:rPr>
          <w:color w:val="1E293B"/>
        </w:rPr>
        <w:t>3. Open http://localhost:5000 in your browser to upload videos and view live 3D avatar animations.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