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0"/>
        </w:rPr>
        <w:t>GenGO Ultra: An Interactive Multi-Model NLP Assistant for ACL Anthology Exploration Using Weaviate Cloud Vector Search and Agentic Workflows</w:t>
      </w:r>
    </w:p>
    <w:p>
      <w:pPr>
        <w:spacing w:after="280"/>
        <w:jc w:val="center"/>
      </w:pPr>
      <w:r>
        <w:rPr>
          <w:rFonts w:ascii="Times New Roman" w:hAnsi="Times New Roman"/>
          <w:i/>
          <w:color w:val="444444"/>
          <w:sz w:val="20"/>
        </w:rPr>
        <w:t>Department of Computer Science and Engineering</w:t>
        <w:br/>
        <w:t>Academic Research &amp; Capstone Evaluation Series in Natural Language Processing</w:t>
        <w:br/>
        <w:t>Course Code: 23CSE471 — Advanced Natural Language Processing</w:t>
      </w:r>
    </w:p>
    <w:tbl>
      <w:tblPr>
        <w:tblW w:type="auto" w:w="0"/>
        <w:jc w:val="center"/>
        <w:tblLook w:firstColumn="1" w:firstRow="1" w:lastColumn="0" w:lastRow="0" w:noHBand="0" w:noVBand="1" w:val="04A0"/>
      </w:tblPr>
      <w:tblGrid>
        <w:gridCol w:w="10080"/>
      </w:tblGrid>
      <w:tr>
        <w:tc>
          <w:tcPr>
            <w:tcW w:type="dxa" w:w="10080"/>
            <w:shd w:fill="F2F4F8"/>
            <w:tcMar>
              <w:top w:w="140" w:type="dxa"/>
              <w:bottom w:w="140" w:type="dxa"/>
              <w:left w:w="200" w:type="dxa"/>
              <w:right w:w="200" w:type="dxa"/>
            </w:tcMar>
          </w:tcPr>
          <w:p>
            <w:pPr>
              <w:spacing w:before="40" w:after="40"/>
            </w:pPr>
            <w:r>
              <w:rPr>
                <w:rFonts w:ascii="Times New Roman" w:hAnsi="Times New Roman"/>
                <w:b/>
                <w:color w:val="002060"/>
                <w:sz w:val="19"/>
              </w:rPr>
              <w:t>Abstract—</w:t>
            </w:r>
            <w:r>
              <w:rPr>
                <w:rFonts w:ascii="Times New Roman" w:hAnsi="Times New Roman"/>
                <w:i/>
                <w:sz w:val="19"/>
              </w:rPr>
              <w:t>As the velocity of empirical research in computational linguistics and artificial intelligence accelerates exponentially, literature discovery remains fundamentally bottlenecked by keyword-based search engines and ungrounded generative models. The Association for Computational Linguistics (ACL) Anthology hosts tens of thousands of peer-reviewed articles documenting evolving architectures, metrics, and experimental baselines. Standard Retrieval-Augmented Generation (RAG) paradigms exhibit critical deficiencies when traversing specialized scientific corpora: they suffer from single-hop semantic horizons, lack self-correcting relevance evaluation, and incur substantial generation latencies over commercial cloud endpoints. In this paper, we present GenGO Ultra, an enterprise-grade scientific exploration architecture that addresses these challenges through a threefold integration: (1) high-scale cloud vector search over an ingested corpus of 10,000 ACL Anthology papers utilizing Weaviate Cloud with hybrid Reciprocal Rank Fusion (dense BGE embeddings + lexical BM25); (2) an autonomous 5-node agentic workflow operating on LangGraph principles that executes dynamic query planning, context relevance grading, self-correcting query reformulation, and pre-generation hallucination verification; and (3) decoupled hardware-accelerated neural inference via the Groq Language Processing Unit (LPU) cloud, delivering sustained generation speeds exceeding 250 tokens per second and sub-400ms time-to-first-token latencies. Furthermore, GenGO Ultra dynamically projects scientific entities, authors, and methodologies into interactive force-directed topological knowledge graphs. In empirical evaluations across a 100-question benchmark spanning five difficulty tiers, GenGO Ultra demonstrates an Exact Match accuracy of 86.4% and an Adversarial Refusal Accuracy of 95.0%, outperforming conventional vector RAG baselines by +27.8% and +35.0% respectively. The platform is released as a production-grade, globally accessible open-source application.</w:t>
            </w:r>
          </w:p>
        </w:tc>
      </w:tr>
    </w:tbl>
    <w:p>
      <w:pPr>
        <w:spacing w:after="80"/>
      </w:pPr>
    </w:p>
    <w:p>
      <w:pPr>
        <w:spacing w:after="240"/>
      </w:pPr>
      <w:r>
        <w:rPr>
          <w:rFonts w:ascii="Times New Roman" w:hAnsi="Times New Roman"/>
          <w:b/>
          <w:sz w:val="19"/>
        </w:rPr>
        <w:t>Index Terms—</w:t>
      </w:r>
      <w:r>
        <w:rPr>
          <w:rFonts w:ascii="Times New Roman" w:hAnsi="Times New Roman"/>
          <w:i/>
          <w:sz w:val="19"/>
        </w:rPr>
        <w:t>Agentic RAG, Knowledge Graph Construction, ACL Anthology, Weaviate Cloud, Language Processing Unit (LPU), Natural Language Processing, Hybrid Vector Retrieval, Academic Synthesis.</w:t>
      </w:r>
    </w:p>
    <w:p>
      <w:pPr>
        <w:keepNext/>
        <w:spacing w:before="320" w:after="120"/>
      </w:pPr>
      <w:r>
        <w:rPr>
          <w:rFonts w:ascii="Times New Roman" w:hAnsi="Times New Roman"/>
          <w:b/>
          <w:color w:val="002060"/>
          <w:sz w:val="24"/>
        </w:rPr>
        <w:t>I.  INTRODUCTION</w:t>
      </w:r>
    </w:p>
    <w:p>
      <w:pPr>
        <w:spacing w:before="0" w:after="120" w:line="276" w:lineRule="auto"/>
        <w:ind w:firstLine="288"/>
      </w:pPr>
      <w:r>
        <w:rPr>
          <w:rFonts w:ascii="Times New Roman" w:hAnsi="Times New Roman"/>
          <w:sz w:val="20"/>
        </w:rPr>
        <w:t>The contemporary landscape of Natural Language Processing (NLP) is characterized by unprecedented publication velocity. The premier venues administered by the Association for Computational Linguistics—including ACL, EMNLP, NAACL, EACL, and COLING—collectively receive tens of thousands of manuscript submissions annually. The resulting digital archive, the ACL Anthology, encompasses an exhaustive chronological record of transformer architectures, evaluation methodologies, prompt-tuning paradigms, and foundational linguistic theories.</w:t>
      </w:r>
    </w:p>
    <w:p>
      <w:pPr>
        <w:spacing w:before="0" w:after="120" w:line="276" w:lineRule="auto"/>
        <w:ind w:firstLine="288"/>
      </w:pPr>
      <w:r>
        <w:rPr>
          <w:rFonts w:ascii="Times New Roman" w:hAnsi="Times New Roman"/>
          <w:sz w:val="20"/>
        </w:rPr>
        <w:t>Despite the universal open-access nature of the ACL Anthology, researchers, doctoral candidates, and software practitioners face an increasingly severe information discovery bottleneck. Traditional discovery mechanisms remain anchored in rigid metadata queries (such as author name indices or exact title keywords) and classical lexical information retrieval algorithms like BM25. When confronted with nuanced, synthesis-oriented questions—such as investigating the progression of factuality metrics in abstractive summarization benchmarks or analyzing trade-offs across parameter-efficient fine-tuning regimes—traditional keyword search engines invariably fail to retrieve conceptually contiguous publications.</w:t>
      </w:r>
    </w:p>
    <w:p>
      <w:pPr>
        <w:spacing w:before="0" w:after="120" w:line="276" w:lineRule="auto"/>
        <w:ind w:firstLine="288"/>
      </w:pPr>
      <w:r>
        <w:rPr>
          <w:rFonts w:ascii="Times New Roman" w:hAnsi="Times New Roman"/>
          <w:sz w:val="20"/>
        </w:rPr>
        <w:t>Concurrently, the emergence of frontier monolithic Large Language Models (LLMs) has transformed conversational interfaces. However, applying vanilla parametric LLMs directly to scientific inquiries introduces catastrophic vulnerabilities. General-purpose models operate under static temporal training cutoffs and inherently hallucinate nonexistent experimental baselines, misattribute author credits, and invent plausible-sounding yet fictitious algorithmic formulations. While Retrieval-Augmented Generation (RAG) frameworks have emerged as the standard mechanism to ground LLMs in external evidence, conventional RAG pipelines exhibit fundamental architectural inadequacies when applied to scientific corpora. Standard vector RAG processes static chunked texts via single-hop cosine similarity, lacking the recursive capacity to verify whether retrieved passages truly substantiate the inquiry or whether multi-document relationship traversal is mandatory.</w:t>
      </w:r>
    </w:p>
    <w:p>
      <w:pPr>
        <w:spacing w:before="0" w:after="120" w:line="276" w:lineRule="auto"/>
        <w:ind w:firstLine="288"/>
      </w:pPr>
      <w:r>
        <w:rPr>
          <w:rFonts w:ascii="Times New Roman" w:hAnsi="Times New Roman"/>
          <w:sz w:val="20"/>
        </w:rPr>
        <w:t>To overcome these systemic limitations, this paper introduces GenGO Ultra, an advanced scientific NLP literature assistant designed from first principles for deep exploration of the ACL Anthology. Rather than treating information retrieval as a passive linear step, GenGO Ultra formalizes literature exploration as an autonomous, self-evaluating graph workflow. By pairing an enterprise cloud vector repository of 10,000 ingested ACL papers with hybrid dense-lexical ranking, a 5-node agentic state machine, ultra-low-latency LPU hardware acceleration, and dynamic topological knowledge graph visualization, GenGO Ultra establishes an empirical benchmark for reliable, grounded scientific synthesis.</w:t>
      </w:r>
    </w:p>
    <w:p>
      <w:pPr>
        <w:keepNext/>
        <w:spacing w:before="320" w:after="120"/>
      </w:pPr>
      <w:r>
        <w:rPr>
          <w:rFonts w:ascii="Times New Roman" w:hAnsi="Times New Roman"/>
          <w:b/>
          <w:color w:val="002060"/>
          <w:sz w:val="24"/>
        </w:rPr>
        <w:t>II.  RELATED WORK AND EXISTING LIMITATIONS</w:t>
      </w:r>
    </w:p>
    <w:p>
      <w:pPr>
        <w:spacing w:before="0" w:after="120" w:line="276" w:lineRule="auto"/>
        <w:ind w:firstLine="288"/>
      </w:pPr>
      <w:r>
        <w:rPr>
          <w:rFonts w:ascii="Times New Roman" w:hAnsi="Times New Roman"/>
          <w:sz w:val="20"/>
        </w:rPr>
        <w:t>Information retrieval and question answering over academic literature have progressed through three distinct architectural generations: lexical inverted indexing, dense vector neural retrieval, and graph-augmented generative retrieval.</w:t>
      </w:r>
    </w:p>
    <w:p>
      <w:pPr>
        <w:keepNext/>
        <w:spacing w:before="240" w:after="80"/>
      </w:pPr>
      <w:r>
        <w:rPr>
          <w:rFonts w:ascii="Times New Roman" w:hAnsi="Times New Roman"/>
          <w:b/>
          <w:i/>
          <w:color w:val="1F497D"/>
          <w:sz w:val="22"/>
        </w:rPr>
        <w:t>A.  Lexical and Inverted-Index Retrieval Systems</w:t>
      </w:r>
    </w:p>
    <w:p>
      <w:pPr>
        <w:spacing w:before="0" w:after="120" w:line="276" w:lineRule="auto"/>
        <w:ind w:firstLine="288"/>
      </w:pPr>
      <w:r>
        <w:rPr>
          <w:rFonts w:ascii="Times New Roman" w:hAnsi="Times New Roman"/>
          <w:sz w:val="20"/>
        </w:rPr>
        <w:t>Pioneering literature archives, including earlier iterations of the ACL Anthology search interface and PubMed, historically relied upon BM25 and TF-IDF scoring functions. These algorithms assess term frequency and inverse document frequency across tokenized document indices. While computationally inexpensive and resilient against semantic drift, lexical matchers cannot resolve semantic synonyms, handle paraphrastic definitions, or detect conceptual equivalences where query terms do not explicitly intersect with document vocabulary.</w:t>
      </w:r>
    </w:p>
    <w:p>
      <w:pPr>
        <w:keepNext/>
        <w:spacing w:before="240" w:after="80"/>
      </w:pPr>
      <w:r>
        <w:rPr>
          <w:rFonts w:ascii="Times New Roman" w:hAnsi="Times New Roman"/>
          <w:b/>
          <w:i/>
          <w:color w:val="1F497D"/>
          <w:sz w:val="22"/>
        </w:rPr>
        <w:t>B.  Dense Semantic Embeddings and Standard Vector RAG</w:t>
      </w:r>
    </w:p>
    <w:p>
      <w:pPr>
        <w:spacing w:before="0" w:after="120" w:line="276" w:lineRule="auto"/>
        <w:ind w:firstLine="288"/>
      </w:pPr>
      <w:r>
        <w:rPr>
          <w:rFonts w:ascii="Times New Roman" w:hAnsi="Times New Roman"/>
          <w:sz w:val="20"/>
        </w:rPr>
        <w:t>The advent of dense representation learning through bi-encoder transformer architectures (e.g., DPR, Sentence-BERT, and BGE) facilitated semantic vector search. In standard RAG frameworks popularized by early LangChain and LlamaIndex iterations, input texts are partitioned into static token windows (e.g., 512 tokens), transformed into dense continuous embeddings, and indexed within vector databases. While effective for localized factual retrieval, standard vector RAG displays critical vulnerabilities across technical domains:</w:t>
      </w:r>
    </w:p>
    <w:p>
      <w:pPr>
        <w:pStyle w:val="ListBullet"/>
        <w:spacing w:before="0" w:after="60" w:line="276" w:lineRule="auto"/>
      </w:pPr>
      <w:r>
        <w:rPr>
          <w:rFonts w:ascii="Times New Roman" w:hAnsi="Times New Roman"/>
          <w:b/>
          <w:sz w:val="20"/>
        </w:rPr>
        <w:t xml:space="preserve">Single-Hop Horizon Bottleneck: </w:t>
      </w:r>
      <w:r>
        <w:rPr>
          <w:rFonts w:ascii="Times New Roman" w:hAnsi="Times New Roman"/>
          <w:sz w:val="20"/>
        </w:rPr>
        <w:t>Dense retrievers pull top-k passages independently based on query similarity. If an inquiry demands connecting a challenge introduced in Paper A with a solution proposed in Paper B, single-hop vector retrieval fails to establish the relational bridge.</w:t>
      </w:r>
    </w:p>
    <w:p>
      <w:pPr>
        <w:pStyle w:val="ListBullet"/>
        <w:spacing w:before="0" w:after="60" w:line="276" w:lineRule="auto"/>
      </w:pPr>
      <w:r>
        <w:rPr>
          <w:rFonts w:ascii="Times New Roman" w:hAnsi="Times New Roman"/>
          <w:b/>
          <w:sz w:val="20"/>
        </w:rPr>
        <w:t xml:space="preserve">Vulnerability to Chunk Boundary Artifacts: </w:t>
      </w:r>
      <w:r>
        <w:rPr>
          <w:rFonts w:ascii="Times New Roman" w:hAnsi="Times New Roman"/>
          <w:sz w:val="20"/>
        </w:rPr>
        <w:t>Arbitrary token segmentation frequently severs equations, methodological contexts, and empirical claims across chunk boundaries, yielding disjointed text fragments.</w:t>
      </w:r>
    </w:p>
    <w:p>
      <w:pPr>
        <w:pStyle w:val="ListBullet"/>
        <w:spacing w:before="0" w:after="60" w:line="276" w:lineRule="auto"/>
      </w:pPr>
      <w:r>
        <w:rPr>
          <w:rFonts w:ascii="Times New Roman" w:hAnsi="Times New Roman"/>
          <w:b/>
          <w:sz w:val="20"/>
        </w:rPr>
        <w:t xml:space="preserve">Absence of Relevance Gating: </w:t>
      </w:r>
      <w:r>
        <w:rPr>
          <w:rFonts w:ascii="Times New Roman" w:hAnsi="Times New Roman"/>
          <w:sz w:val="20"/>
        </w:rPr>
        <w:t>Standard RAG unconditionally passes retrieved chunks into the generator context window, regardless of whether the passages contain relevant evidence. This phenomenon ('distraction by noise') frequently misleads generator attention.</w:t>
      </w:r>
    </w:p>
    <w:p>
      <w:pPr>
        <w:keepNext/>
        <w:spacing w:before="240" w:after="80"/>
      </w:pPr>
      <w:r>
        <w:rPr>
          <w:rFonts w:ascii="Times New Roman" w:hAnsi="Times New Roman"/>
          <w:b/>
          <w:i/>
          <w:color w:val="1F497D"/>
          <w:sz w:val="22"/>
        </w:rPr>
        <w:t>C.  Graph-Augmented Retrieval and Community Summarization</w:t>
      </w:r>
    </w:p>
    <w:p>
      <w:pPr>
        <w:spacing w:before="0" w:after="120" w:line="276" w:lineRule="auto"/>
        <w:ind w:firstLine="288"/>
      </w:pPr>
      <w:r>
        <w:rPr>
          <w:rFonts w:ascii="Times New Roman" w:hAnsi="Times New Roman"/>
          <w:sz w:val="20"/>
        </w:rPr>
        <w:t>Recent literature has explored knowledge graph augmentation to model explicit entity linkages. Notable contemporary implementations include Microsoft GraphRAG and proprietary academic platforms like Consensus and SciSpace. Microsoft GraphRAG employs hierarchical Leiden clustering over unstructured document graphs to synthesize community summaries. However, such systems typically operate in heavy offline batch-processing modes, require extensive token expenditure over proprietary commercial APIs, and lack interactive user-facing visual topology controls.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728"/>
            <w:shd w:fill="002060"/>
            <w:tcMar>
              <w:top w:w="100" w:type="dxa"/>
              <w:bottom w:w="100" w:type="dxa"/>
              <w:left w:w="100" w:type="dxa"/>
              <w:right w:w="100" w:type="dxa"/>
            </w:tcMar>
          </w:tcPr>
          <w:p>
            <w:pPr>
              <w:jc w:val="center"/>
            </w:pPr>
            <w:r>
              <w:rPr>
                <w:rFonts w:ascii="Times New Roman" w:hAnsi="Times New Roman"/>
                <w:b/>
                <w:color w:val="FFFFFF"/>
                <w:sz w:val="17"/>
              </w:rPr>
              <w:t>Architecture</w:t>
            </w:r>
          </w:p>
        </w:tc>
        <w:tc>
          <w:tcPr>
            <w:tcW w:type="dxa" w:w="1584"/>
            <w:shd w:fill="002060"/>
            <w:tcMar>
              <w:top w:w="100" w:type="dxa"/>
              <w:bottom w:w="100" w:type="dxa"/>
              <w:left w:w="100" w:type="dxa"/>
              <w:right w:w="100" w:type="dxa"/>
            </w:tcMar>
          </w:tcPr>
          <w:p>
            <w:pPr>
              <w:jc w:val="center"/>
            </w:pPr>
            <w:r>
              <w:rPr>
                <w:rFonts w:ascii="Times New Roman" w:hAnsi="Times New Roman"/>
                <w:b/>
                <w:color w:val="FFFFFF"/>
                <w:sz w:val="17"/>
              </w:rPr>
              <w:t>Indexing Mechanism</w:t>
            </w:r>
          </w:p>
        </w:tc>
        <w:tc>
          <w:tcPr>
            <w:tcW w:type="dxa" w:w="1728"/>
            <w:shd w:fill="002060"/>
            <w:tcMar>
              <w:top w:w="100" w:type="dxa"/>
              <w:bottom w:w="100" w:type="dxa"/>
              <w:left w:w="100" w:type="dxa"/>
              <w:right w:w="100" w:type="dxa"/>
            </w:tcMar>
          </w:tcPr>
          <w:p>
            <w:pPr>
              <w:jc w:val="center"/>
            </w:pPr>
            <w:r>
              <w:rPr>
                <w:rFonts w:ascii="Times New Roman" w:hAnsi="Times New Roman"/>
                <w:b/>
                <w:color w:val="FFFFFF"/>
                <w:sz w:val="17"/>
              </w:rPr>
              <w:t>Retrieval Modality</w:t>
            </w:r>
          </w:p>
        </w:tc>
        <w:tc>
          <w:tcPr>
            <w:tcW w:type="dxa" w:w="1584"/>
            <w:shd w:fill="002060"/>
            <w:tcMar>
              <w:top w:w="100" w:type="dxa"/>
              <w:bottom w:w="100" w:type="dxa"/>
              <w:left w:w="100" w:type="dxa"/>
              <w:right w:w="100" w:type="dxa"/>
            </w:tcMar>
          </w:tcPr>
          <w:p>
            <w:pPr>
              <w:jc w:val="center"/>
            </w:pPr>
            <w:r>
              <w:rPr>
                <w:rFonts w:ascii="Times New Roman" w:hAnsi="Times New Roman"/>
                <w:b/>
                <w:color w:val="FFFFFF"/>
                <w:sz w:val="17"/>
              </w:rPr>
              <w:t>Agentic Self-Correction</w:t>
            </w:r>
          </w:p>
        </w:tc>
        <w:tc>
          <w:tcPr>
            <w:tcW w:type="dxa" w:w="1584"/>
            <w:shd w:fill="002060"/>
            <w:tcMar>
              <w:top w:w="100" w:type="dxa"/>
              <w:bottom w:w="100" w:type="dxa"/>
              <w:left w:w="100" w:type="dxa"/>
              <w:right w:w="100" w:type="dxa"/>
            </w:tcMar>
          </w:tcPr>
          <w:p>
            <w:pPr>
              <w:jc w:val="center"/>
            </w:pPr>
            <w:r>
              <w:rPr>
                <w:rFonts w:ascii="Times New Roman" w:hAnsi="Times New Roman"/>
                <w:b/>
                <w:color w:val="FFFFFF"/>
                <w:sz w:val="17"/>
              </w:rPr>
              <w:t>Interactive Graph UI</w:t>
            </w:r>
          </w:p>
        </w:tc>
        <w:tc>
          <w:tcPr>
            <w:tcW w:type="dxa" w:w="1872"/>
            <w:shd w:fill="002060"/>
            <w:tcMar>
              <w:top w:w="100" w:type="dxa"/>
              <w:bottom w:w="100" w:type="dxa"/>
              <w:left w:w="100" w:type="dxa"/>
              <w:right w:w="100" w:type="dxa"/>
            </w:tcMar>
          </w:tcPr>
          <w:p>
            <w:pPr>
              <w:jc w:val="center"/>
            </w:pPr>
            <w:r>
              <w:rPr>
                <w:rFonts w:ascii="Times New Roman" w:hAnsi="Times New Roman"/>
                <w:b/>
                <w:color w:val="FFFFFF"/>
                <w:sz w:val="17"/>
              </w:rPr>
              <w:t>Inference Subsystem</w:t>
            </w:r>
          </w:p>
        </w:tc>
      </w:tr>
      <w:tr>
        <w:tc>
          <w:tcPr>
            <w:tcW w:type="dxa" w:w="1728"/>
            <w:shd w:fill="FFFFFF"/>
            <w:tcMar>
              <w:top w:w="80" w:type="dxa"/>
              <w:bottom w:w="80" w:type="dxa"/>
              <w:left w:w="90" w:type="dxa"/>
              <w:right w:w="90" w:type="dxa"/>
            </w:tcMar>
          </w:tcPr>
          <w:p>
            <w:r>
              <w:rPr>
                <w:rFonts w:ascii="Times New Roman" w:hAnsi="Times New Roman"/>
                <w:sz w:val="16"/>
              </w:rPr>
              <w:t>LangChain Standard RAG</w:t>
            </w:r>
          </w:p>
        </w:tc>
        <w:tc>
          <w:tcPr>
            <w:tcW w:type="dxa" w:w="1584"/>
            <w:shd w:fill="FFFFFF"/>
            <w:tcMar>
              <w:top w:w="80" w:type="dxa"/>
              <w:bottom w:w="80" w:type="dxa"/>
              <w:left w:w="90" w:type="dxa"/>
              <w:right w:w="90" w:type="dxa"/>
            </w:tcMar>
          </w:tcPr>
          <w:p>
            <w:r>
              <w:rPr>
                <w:rFonts w:ascii="Times New Roman" w:hAnsi="Times New Roman"/>
                <w:sz w:val="16"/>
              </w:rPr>
              <w:t>Local Vector Store</w:t>
            </w:r>
          </w:p>
        </w:tc>
        <w:tc>
          <w:tcPr>
            <w:tcW w:type="dxa" w:w="1728"/>
            <w:shd w:fill="FFFFFF"/>
            <w:tcMar>
              <w:top w:w="80" w:type="dxa"/>
              <w:bottom w:w="80" w:type="dxa"/>
              <w:left w:w="90" w:type="dxa"/>
              <w:right w:w="90" w:type="dxa"/>
            </w:tcMar>
          </w:tcPr>
          <w:p>
            <w:r>
              <w:rPr>
                <w:rFonts w:ascii="Times New Roman" w:hAnsi="Times New Roman"/>
                <w:sz w:val="16"/>
              </w:rPr>
              <w:t>Dense Cosine Vector</w:t>
            </w:r>
          </w:p>
        </w:tc>
        <w:tc>
          <w:tcPr>
            <w:tcW w:type="dxa" w:w="1584"/>
            <w:shd w:fill="FFFFFF"/>
            <w:tcMar>
              <w:top w:w="80" w:type="dxa"/>
              <w:bottom w:w="80" w:type="dxa"/>
              <w:left w:w="90" w:type="dxa"/>
              <w:right w:w="90" w:type="dxa"/>
            </w:tcMar>
          </w:tcPr>
          <w:p>
            <w:r>
              <w:rPr>
                <w:rFonts w:ascii="Times New Roman" w:hAnsi="Times New Roman"/>
                <w:sz w:val="16"/>
              </w:rPr>
              <w:t>None (Static Linear)</w:t>
            </w:r>
          </w:p>
        </w:tc>
        <w:tc>
          <w:tcPr>
            <w:tcW w:type="dxa" w:w="1584"/>
            <w:shd w:fill="FFFFFF"/>
            <w:tcMar>
              <w:top w:w="80" w:type="dxa"/>
              <w:bottom w:w="80" w:type="dxa"/>
              <w:left w:w="90" w:type="dxa"/>
              <w:right w:w="90" w:type="dxa"/>
            </w:tcMar>
          </w:tcPr>
          <w:p>
            <w:r>
              <w:rPr>
                <w:rFonts w:ascii="Times New Roman" w:hAnsi="Times New Roman"/>
                <w:sz w:val="16"/>
              </w:rPr>
              <w:t>Unsupported</w:t>
            </w:r>
          </w:p>
        </w:tc>
        <w:tc>
          <w:tcPr>
            <w:tcW w:type="dxa" w:w="1872"/>
            <w:shd w:fill="FFFFFF"/>
            <w:tcMar>
              <w:top w:w="80" w:type="dxa"/>
              <w:bottom w:w="80" w:type="dxa"/>
              <w:left w:w="90" w:type="dxa"/>
              <w:right w:w="90" w:type="dxa"/>
            </w:tcMar>
          </w:tcPr>
          <w:p>
            <w:r>
              <w:rPr>
                <w:rFonts w:ascii="Times New Roman" w:hAnsi="Times New Roman"/>
                <w:sz w:val="16"/>
              </w:rPr>
              <w:t>Remote API (High Latency)</w:t>
            </w:r>
          </w:p>
        </w:tc>
      </w:tr>
      <w:tr>
        <w:tc>
          <w:tcPr>
            <w:tcW w:type="dxa" w:w="1728"/>
            <w:shd w:fill="F2F4F8"/>
            <w:tcMar>
              <w:top w:w="80" w:type="dxa"/>
              <w:bottom w:w="80" w:type="dxa"/>
              <w:left w:w="90" w:type="dxa"/>
              <w:right w:w="90" w:type="dxa"/>
            </w:tcMar>
          </w:tcPr>
          <w:p>
            <w:r>
              <w:rPr>
                <w:rFonts w:ascii="Times New Roman" w:hAnsi="Times New Roman"/>
                <w:sz w:val="16"/>
              </w:rPr>
              <w:t>LlamaIndex Base</w:t>
            </w:r>
          </w:p>
        </w:tc>
        <w:tc>
          <w:tcPr>
            <w:tcW w:type="dxa" w:w="1584"/>
            <w:shd w:fill="F2F4F8"/>
            <w:tcMar>
              <w:top w:w="80" w:type="dxa"/>
              <w:bottom w:w="80" w:type="dxa"/>
              <w:left w:w="90" w:type="dxa"/>
              <w:right w:w="90" w:type="dxa"/>
            </w:tcMar>
          </w:tcPr>
          <w:p>
            <w:r>
              <w:rPr>
                <w:rFonts w:ascii="Times New Roman" w:hAnsi="Times New Roman"/>
                <w:sz w:val="16"/>
              </w:rPr>
              <w:t>Vector &amp; Node Hierarchy</w:t>
            </w:r>
          </w:p>
        </w:tc>
        <w:tc>
          <w:tcPr>
            <w:tcW w:type="dxa" w:w="1728"/>
            <w:shd w:fill="F2F4F8"/>
            <w:tcMar>
              <w:top w:w="80" w:type="dxa"/>
              <w:bottom w:w="80" w:type="dxa"/>
              <w:left w:w="90" w:type="dxa"/>
              <w:right w:w="90" w:type="dxa"/>
            </w:tcMar>
          </w:tcPr>
          <w:p>
            <w:r>
              <w:rPr>
                <w:rFonts w:ascii="Times New Roman" w:hAnsi="Times New Roman"/>
                <w:sz w:val="16"/>
              </w:rPr>
              <w:t>Dense + Keyword</w:t>
            </w:r>
          </w:p>
        </w:tc>
        <w:tc>
          <w:tcPr>
            <w:tcW w:type="dxa" w:w="1584"/>
            <w:shd w:fill="F2F4F8"/>
            <w:tcMar>
              <w:top w:w="80" w:type="dxa"/>
              <w:bottom w:w="80" w:type="dxa"/>
              <w:left w:w="90" w:type="dxa"/>
              <w:right w:w="90" w:type="dxa"/>
            </w:tcMar>
          </w:tcPr>
          <w:p>
            <w:r>
              <w:rPr>
                <w:rFonts w:ascii="Times New Roman" w:hAnsi="Times New Roman"/>
                <w:sz w:val="16"/>
              </w:rPr>
              <w:t>Partial (Manual Loops)</w:t>
            </w:r>
          </w:p>
        </w:tc>
        <w:tc>
          <w:tcPr>
            <w:tcW w:type="dxa" w:w="1584"/>
            <w:shd w:fill="F2F4F8"/>
            <w:tcMar>
              <w:top w:w="80" w:type="dxa"/>
              <w:bottom w:w="80" w:type="dxa"/>
              <w:left w:w="90" w:type="dxa"/>
              <w:right w:w="90" w:type="dxa"/>
            </w:tcMar>
          </w:tcPr>
          <w:p>
            <w:r>
              <w:rPr>
                <w:rFonts w:ascii="Times New Roman" w:hAnsi="Times New Roman"/>
                <w:sz w:val="16"/>
              </w:rPr>
              <w:t>Unsupported</w:t>
            </w:r>
          </w:p>
        </w:tc>
        <w:tc>
          <w:tcPr>
            <w:tcW w:type="dxa" w:w="1872"/>
            <w:shd w:fill="F2F4F8"/>
            <w:tcMar>
              <w:top w:w="80" w:type="dxa"/>
              <w:bottom w:w="80" w:type="dxa"/>
              <w:left w:w="90" w:type="dxa"/>
              <w:right w:w="90" w:type="dxa"/>
            </w:tcMar>
          </w:tcPr>
          <w:p>
            <w:r>
              <w:rPr>
                <w:rFonts w:ascii="Times New Roman" w:hAnsi="Times New Roman"/>
                <w:sz w:val="16"/>
              </w:rPr>
              <w:t>Remote API (High Latency)</w:t>
            </w:r>
          </w:p>
        </w:tc>
      </w:tr>
      <w:tr>
        <w:tc>
          <w:tcPr>
            <w:tcW w:type="dxa" w:w="1728"/>
            <w:shd w:fill="FFFFFF"/>
            <w:tcMar>
              <w:top w:w="80" w:type="dxa"/>
              <w:bottom w:w="80" w:type="dxa"/>
              <w:left w:w="90" w:type="dxa"/>
              <w:right w:w="90" w:type="dxa"/>
            </w:tcMar>
          </w:tcPr>
          <w:p>
            <w:r>
              <w:rPr>
                <w:rFonts w:ascii="Times New Roman" w:hAnsi="Times New Roman"/>
                <w:sz w:val="16"/>
              </w:rPr>
              <w:t>Microsoft GraphRAG</w:t>
            </w:r>
          </w:p>
        </w:tc>
        <w:tc>
          <w:tcPr>
            <w:tcW w:type="dxa" w:w="1584"/>
            <w:shd w:fill="FFFFFF"/>
            <w:tcMar>
              <w:top w:w="80" w:type="dxa"/>
              <w:bottom w:w="80" w:type="dxa"/>
              <w:left w:w="90" w:type="dxa"/>
              <w:right w:w="90" w:type="dxa"/>
            </w:tcMar>
          </w:tcPr>
          <w:p>
            <w:r>
              <w:rPr>
                <w:rFonts w:ascii="Times New Roman" w:hAnsi="Times New Roman"/>
                <w:sz w:val="16"/>
              </w:rPr>
              <w:t>Leiden Graph Communities</w:t>
            </w:r>
          </w:p>
        </w:tc>
        <w:tc>
          <w:tcPr>
            <w:tcW w:type="dxa" w:w="1728"/>
            <w:shd w:fill="FFFFFF"/>
            <w:tcMar>
              <w:top w:w="80" w:type="dxa"/>
              <w:bottom w:w="80" w:type="dxa"/>
              <w:left w:w="90" w:type="dxa"/>
              <w:right w:w="90" w:type="dxa"/>
            </w:tcMar>
          </w:tcPr>
          <w:p>
            <w:r>
              <w:rPr>
                <w:rFonts w:ascii="Times New Roman" w:hAnsi="Times New Roman"/>
                <w:sz w:val="16"/>
              </w:rPr>
              <w:t>Hierarchical Summary</w:t>
            </w:r>
          </w:p>
        </w:tc>
        <w:tc>
          <w:tcPr>
            <w:tcW w:type="dxa" w:w="1584"/>
            <w:shd w:fill="FFFFFF"/>
            <w:tcMar>
              <w:top w:w="80" w:type="dxa"/>
              <w:bottom w:w="80" w:type="dxa"/>
              <w:left w:w="90" w:type="dxa"/>
              <w:right w:w="90" w:type="dxa"/>
            </w:tcMar>
          </w:tcPr>
          <w:p>
            <w:r>
              <w:rPr>
                <w:rFonts w:ascii="Times New Roman" w:hAnsi="Times New Roman"/>
                <w:sz w:val="16"/>
              </w:rPr>
              <w:t>Batch Only (Offline)</w:t>
            </w:r>
          </w:p>
        </w:tc>
        <w:tc>
          <w:tcPr>
            <w:tcW w:type="dxa" w:w="1584"/>
            <w:shd w:fill="FFFFFF"/>
            <w:tcMar>
              <w:top w:w="80" w:type="dxa"/>
              <w:bottom w:w="80" w:type="dxa"/>
              <w:left w:w="90" w:type="dxa"/>
              <w:right w:w="90" w:type="dxa"/>
            </w:tcMar>
          </w:tcPr>
          <w:p>
            <w:r>
              <w:rPr>
                <w:rFonts w:ascii="Times New Roman" w:hAnsi="Times New Roman"/>
                <w:sz w:val="16"/>
              </w:rPr>
              <w:t>Unsupported</w:t>
            </w:r>
          </w:p>
        </w:tc>
        <w:tc>
          <w:tcPr>
            <w:tcW w:type="dxa" w:w="1872"/>
            <w:shd w:fill="FFFFFF"/>
            <w:tcMar>
              <w:top w:w="80" w:type="dxa"/>
              <w:bottom w:w="80" w:type="dxa"/>
              <w:left w:w="90" w:type="dxa"/>
              <w:right w:w="90" w:type="dxa"/>
            </w:tcMar>
          </w:tcPr>
          <w:p>
            <w:r>
              <w:rPr>
                <w:rFonts w:ascii="Times New Roman" w:hAnsi="Times New Roman"/>
                <w:sz w:val="16"/>
              </w:rPr>
              <w:t>Heavy Proprietary LLM</w:t>
            </w:r>
          </w:p>
        </w:tc>
      </w:tr>
      <w:tr>
        <w:tc>
          <w:tcPr>
            <w:tcW w:type="dxa" w:w="1728"/>
            <w:shd w:fill="F2F4F8"/>
            <w:tcMar>
              <w:top w:w="80" w:type="dxa"/>
              <w:bottom w:w="80" w:type="dxa"/>
              <w:left w:w="90" w:type="dxa"/>
              <w:right w:w="90" w:type="dxa"/>
            </w:tcMar>
          </w:tcPr>
          <w:p>
            <w:r>
              <w:rPr>
                <w:rFonts w:ascii="Times New Roman" w:hAnsi="Times New Roman"/>
                <w:sz w:val="16"/>
              </w:rPr>
              <w:t>Semantic Scholar API</w:t>
            </w:r>
          </w:p>
        </w:tc>
        <w:tc>
          <w:tcPr>
            <w:tcW w:type="dxa" w:w="1584"/>
            <w:shd w:fill="F2F4F8"/>
            <w:tcMar>
              <w:top w:w="80" w:type="dxa"/>
              <w:bottom w:w="80" w:type="dxa"/>
              <w:left w:w="90" w:type="dxa"/>
              <w:right w:w="90" w:type="dxa"/>
            </w:tcMar>
          </w:tcPr>
          <w:p>
            <w:r>
              <w:rPr>
                <w:rFonts w:ascii="Times New Roman" w:hAnsi="Times New Roman"/>
                <w:sz w:val="16"/>
              </w:rPr>
              <w:t>Proprietary Elastic Index</w:t>
            </w:r>
          </w:p>
        </w:tc>
        <w:tc>
          <w:tcPr>
            <w:tcW w:type="dxa" w:w="1728"/>
            <w:shd w:fill="F2F4F8"/>
            <w:tcMar>
              <w:top w:w="80" w:type="dxa"/>
              <w:bottom w:w="80" w:type="dxa"/>
              <w:left w:w="90" w:type="dxa"/>
              <w:right w:w="90" w:type="dxa"/>
            </w:tcMar>
          </w:tcPr>
          <w:p>
            <w:r>
              <w:rPr>
                <w:rFonts w:ascii="Times New Roman" w:hAnsi="Times New Roman"/>
                <w:sz w:val="16"/>
              </w:rPr>
              <w:t>Lexical + Embedding</w:t>
            </w:r>
          </w:p>
        </w:tc>
        <w:tc>
          <w:tcPr>
            <w:tcW w:type="dxa" w:w="1584"/>
            <w:shd w:fill="F2F4F8"/>
            <w:tcMar>
              <w:top w:w="80" w:type="dxa"/>
              <w:bottom w:w="80" w:type="dxa"/>
              <w:left w:w="90" w:type="dxa"/>
              <w:right w:w="90" w:type="dxa"/>
            </w:tcMar>
          </w:tcPr>
          <w:p>
            <w:r>
              <w:rPr>
                <w:rFonts w:ascii="Times New Roman" w:hAnsi="Times New Roman"/>
                <w:sz w:val="16"/>
              </w:rPr>
              <w:t>Unsupported</w:t>
            </w:r>
          </w:p>
        </w:tc>
        <w:tc>
          <w:tcPr>
            <w:tcW w:type="dxa" w:w="1584"/>
            <w:shd w:fill="F2F4F8"/>
            <w:tcMar>
              <w:top w:w="80" w:type="dxa"/>
              <w:bottom w:w="80" w:type="dxa"/>
              <w:left w:w="90" w:type="dxa"/>
              <w:right w:w="90" w:type="dxa"/>
            </w:tcMar>
          </w:tcPr>
          <w:p>
            <w:r>
              <w:rPr>
                <w:rFonts w:ascii="Times New Roman" w:hAnsi="Times New Roman"/>
                <w:sz w:val="16"/>
              </w:rPr>
              <w:t>Static Node Trees</w:t>
            </w:r>
          </w:p>
        </w:tc>
        <w:tc>
          <w:tcPr>
            <w:tcW w:type="dxa" w:w="1872"/>
            <w:shd w:fill="F2F4F8"/>
            <w:tcMar>
              <w:top w:w="80" w:type="dxa"/>
              <w:bottom w:w="80" w:type="dxa"/>
              <w:left w:w="90" w:type="dxa"/>
              <w:right w:w="90" w:type="dxa"/>
            </w:tcMar>
          </w:tcPr>
          <w:p>
            <w:r>
              <w:rPr>
                <w:rFonts w:ascii="Times New Roman" w:hAnsi="Times New Roman"/>
                <w:sz w:val="16"/>
              </w:rPr>
              <w:t>Fixed Web Endpoint</w:t>
            </w:r>
          </w:p>
        </w:tc>
      </w:tr>
      <w:tr>
        <w:tc>
          <w:tcPr>
            <w:tcW w:type="dxa" w:w="1728"/>
            <w:shd w:fill="FFFFFF"/>
            <w:tcMar>
              <w:top w:w="80" w:type="dxa"/>
              <w:bottom w:w="80" w:type="dxa"/>
              <w:left w:w="90" w:type="dxa"/>
              <w:right w:w="90" w:type="dxa"/>
            </w:tcMar>
          </w:tcPr>
          <w:p>
            <w:r>
              <w:rPr>
                <w:rFonts w:ascii="Times New Roman" w:hAnsi="Times New Roman"/>
                <w:b/>
                <w:color w:val="002060"/>
                <w:sz w:val="16"/>
              </w:rPr>
              <w:t>GenGO Ultra (This Work)</w:t>
            </w:r>
          </w:p>
        </w:tc>
        <w:tc>
          <w:tcPr>
            <w:tcW w:type="dxa" w:w="1584"/>
            <w:shd w:fill="FFFFFF"/>
            <w:tcMar>
              <w:top w:w="80" w:type="dxa"/>
              <w:bottom w:w="80" w:type="dxa"/>
              <w:left w:w="90" w:type="dxa"/>
              <w:right w:w="90" w:type="dxa"/>
            </w:tcMar>
          </w:tcPr>
          <w:p>
            <w:r>
              <w:rPr>
                <w:rFonts w:ascii="Times New Roman" w:hAnsi="Times New Roman"/>
                <w:sz w:val="16"/>
              </w:rPr>
              <w:t>Weaviate Cloud (10k Papers)</w:t>
            </w:r>
          </w:p>
        </w:tc>
        <w:tc>
          <w:tcPr>
            <w:tcW w:type="dxa" w:w="1728"/>
            <w:shd w:fill="FFFFFF"/>
            <w:tcMar>
              <w:top w:w="80" w:type="dxa"/>
              <w:bottom w:w="80" w:type="dxa"/>
              <w:left w:w="90" w:type="dxa"/>
              <w:right w:w="90" w:type="dxa"/>
            </w:tcMar>
          </w:tcPr>
          <w:p>
            <w:r>
              <w:rPr>
                <w:rFonts w:ascii="Times New Roman" w:hAnsi="Times New Roman"/>
                <w:sz w:val="16"/>
              </w:rPr>
              <w:t>Hybrid Dense + BM25 RRF</w:t>
            </w:r>
          </w:p>
        </w:tc>
        <w:tc>
          <w:tcPr>
            <w:tcW w:type="dxa" w:w="1584"/>
            <w:shd w:fill="FFFFFF"/>
            <w:tcMar>
              <w:top w:w="80" w:type="dxa"/>
              <w:bottom w:w="80" w:type="dxa"/>
              <w:left w:w="90" w:type="dxa"/>
              <w:right w:w="90" w:type="dxa"/>
            </w:tcMar>
          </w:tcPr>
          <w:p>
            <w:r>
              <w:rPr>
                <w:rFonts w:ascii="Times New Roman" w:hAnsi="Times New Roman"/>
                <w:sz w:val="16"/>
              </w:rPr>
              <w:t>Autonomous 5-Node Loop</w:t>
            </w:r>
          </w:p>
        </w:tc>
        <w:tc>
          <w:tcPr>
            <w:tcW w:type="dxa" w:w="1584"/>
            <w:shd w:fill="FFFFFF"/>
            <w:tcMar>
              <w:top w:w="80" w:type="dxa"/>
              <w:bottom w:w="80" w:type="dxa"/>
              <w:left w:w="90" w:type="dxa"/>
              <w:right w:w="90" w:type="dxa"/>
            </w:tcMar>
          </w:tcPr>
          <w:p>
            <w:r>
              <w:rPr>
                <w:rFonts w:ascii="Times New Roman" w:hAnsi="Times New Roman"/>
                <w:sz w:val="16"/>
              </w:rPr>
              <w:t>Force-Directed Dynamic UI</w:t>
            </w:r>
          </w:p>
        </w:tc>
        <w:tc>
          <w:tcPr>
            <w:tcW w:type="dxa" w:w="1872"/>
            <w:shd w:fill="FFFFFF"/>
            <w:tcMar>
              <w:top w:w="80" w:type="dxa"/>
              <w:bottom w:w="80" w:type="dxa"/>
              <w:left w:w="90" w:type="dxa"/>
              <w:right w:w="90" w:type="dxa"/>
            </w:tcMar>
          </w:tcPr>
          <w:p>
            <w:r>
              <w:rPr>
                <w:rFonts w:ascii="Times New Roman" w:hAnsi="Times New Roman"/>
                <w:sz w:val="16"/>
              </w:rPr>
              <w:t>Groq LPU (Sub-400ms TTFT)</w:t>
            </w:r>
          </w:p>
        </w:tc>
      </w:tr>
    </w:tbl>
    <w:p>
      <w:pPr>
        <w:spacing w:after="80"/>
      </w:pPr>
    </w:p>
    <w:p>
      <w:pPr>
        <w:spacing w:after="240"/>
        <w:jc w:val="center"/>
      </w:pPr>
      <w:r>
        <w:rPr>
          <w:rFonts w:ascii="Times New Roman" w:hAnsi="Times New Roman"/>
          <w:b/>
          <w:sz w:val="17"/>
        </w:rPr>
        <w:t>TABLE I: Architectural Comparison of Academic Literature Discovery Systems</w:t>
      </w:r>
    </w:p>
    <w:p>
      <w:pPr>
        <w:keepNext/>
        <w:spacing w:before="320" w:after="120"/>
      </w:pPr>
      <w:r>
        <w:rPr>
          <w:rFonts w:ascii="Times New Roman" w:hAnsi="Times New Roman"/>
          <w:b/>
          <w:color w:val="002060"/>
          <w:sz w:val="24"/>
        </w:rPr>
        <w:t>III.  PROBLEM FORMULATION AND SCIENTIFIC CHALLENGES</w:t>
      </w:r>
    </w:p>
    <w:p>
      <w:pPr>
        <w:spacing w:before="0" w:after="120" w:line="276" w:lineRule="auto"/>
        <w:ind w:firstLine="288"/>
      </w:pPr>
      <w:r>
        <w:rPr>
          <w:rFonts w:ascii="Times New Roman" w:hAnsi="Times New Roman"/>
          <w:sz w:val="20"/>
        </w:rPr>
        <w:t>Scientific literature exploration over computational linguistics involves formal mathematical and linguistic complexities that do not manifest in standard conversational corpora.</w:t>
      </w:r>
    </w:p>
    <w:p>
      <w:pPr>
        <w:keepNext/>
        <w:spacing w:before="240" w:after="80"/>
      </w:pPr>
      <w:r>
        <w:rPr>
          <w:rFonts w:ascii="Times New Roman" w:hAnsi="Times New Roman"/>
          <w:b/>
          <w:i/>
          <w:color w:val="1F497D"/>
          <w:sz w:val="22"/>
        </w:rPr>
        <w:t>A.  Formal Problem Formulation</w:t>
      </w:r>
    </w:p>
    <w:p>
      <w:pPr>
        <w:spacing w:before="0" w:after="120" w:line="276" w:lineRule="auto"/>
        <w:ind w:firstLine="288"/>
      </w:pPr>
      <w:r>
        <w:rPr>
          <w:rFonts w:ascii="Times New Roman" w:hAnsi="Times New Roman"/>
          <w:sz w:val="20"/>
        </w:rPr>
        <w:t>Let the ACL Anthology corpus be defined as a set of N peer-reviewed document objects D = {d1, d2, ..., dN}, where N = 10,000. Each publication di is formally represented as an attributed tuple:</w:t>
      </w:r>
    </w:p>
    <w:p>
      <w:pPr>
        <w:spacing w:before="0" w:after="120" w:line="276" w:lineRule="auto"/>
      </w:pPr>
      <w:r>
        <w:rPr>
          <w:rFonts w:ascii="Times New Roman" w:hAnsi="Times New Roman"/>
          <w:sz w:val="20"/>
        </w:rPr>
        <w:t>di = (IDi, Ti, Ai, Yi, Vi, Mi, Ci, Pi, Oi, vi)</w:t>
      </w:r>
    </w:p>
    <w:p>
      <w:pPr>
        <w:spacing w:before="0" w:after="120" w:line="276" w:lineRule="auto"/>
        <w:ind w:firstLine="288"/>
      </w:pPr>
      <w:r>
        <w:rPr>
          <w:rFonts w:ascii="Times New Roman" w:hAnsi="Times New Roman"/>
          <w:sz w:val="20"/>
        </w:rPr>
        <w:t>where IDi denotes the unique canonical publication identifier, Ti represents the sanitized paper title, Ai is the ordered set of contributing authors, Yi is the publication year, Vi designates the conference venue, and Mi is the full abstract narrative. To overcome the semantic collapse of monolithic abstracts, each text is decomposed into three structural functional components: Ci (the core scientific challenge or bottleneck), Pi (the proposed methodology or architectural approach), and Oi (the empirical outcome or verified benchmark result). Finally, vi in R^D denotes the continuous dense semantic embedding vector (where D = 384).</w:t>
      </w:r>
    </w:p>
    <w:p>
      <w:pPr>
        <w:spacing w:before="0" w:after="120" w:line="276" w:lineRule="auto"/>
        <w:ind w:firstLine="288"/>
      </w:pPr>
      <w:r>
        <w:rPr>
          <w:rFonts w:ascii="Times New Roman" w:hAnsi="Times New Roman"/>
          <w:sz w:val="20"/>
        </w:rPr>
        <w:t>Given an arbitrary exploratory natural language inquiry q issued by a researcher, the objective of the system is to generate an evidence-grounded response r alongside an attributed sub-graph Gq = (Vq, Eq) such that:</w:t>
      </w:r>
    </w:p>
    <w:p>
      <w:pPr>
        <w:spacing w:before="0" w:after="120" w:line="276" w:lineRule="auto"/>
        <w:ind w:firstLine="288"/>
      </w:pPr>
      <w:r>
        <w:rPr>
          <w:rFonts w:ascii="Times New Roman" w:hAnsi="Times New Roman"/>
          <w:sz w:val="20"/>
        </w:rPr>
        <w:t>1) Grounding Validity: Every factual assertion in r is directly substantiated by an extracted subset of relevant documents D* subset D, with explicit citation anchors.</w:t>
      </w:r>
    </w:p>
    <w:p>
      <w:pPr>
        <w:spacing w:before="0" w:after="120" w:line="276" w:lineRule="auto"/>
        <w:ind w:firstLine="288"/>
      </w:pPr>
      <w:r>
        <w:rPr>
          <w:rFonts w:ascii="Times New Roman" w:hAnsi="Times New Roman"/>
          <w:sz w:val="20"/>
        </w:rPr>
        <w:t>2) Hallucination Suppression: If q posits an unverified, contradictory, or unanswerable premise relative to D, the system must trigger an autonomous refusal state r_refuse rather than generating speculative parametric artifacts.</w:t>
      </w:r>
    </w:p>
    <w:p>
      <w:pPr>
        <w:spacing w:before="0" w:after="120" w:line="276" w:lineRule="auto"/>
        <w:ind w:firstLine="288"/>
      </w:pPr>
      <w:r>
        <w:rPr>
          <w:rFonts w:ascii="Times New Roman" w:hAnsi="Times New Roman"/>
          <w:sz w:val="20"/>
        </w:rPr>
        <w:t>3) Latency Feasibility: The total system turnaround time T_total satisfies T_total &lt; 1500 ms, maintaining real-time interactivity.</w:t>
      </w:r>
    </w:p>
    <w:p>
      <w:pPr>
        <w:keepNext/>
        <w:spacing w:before="240" w:after="80"/>
      </w:pPr>
      <w:r>
        <w:rPr>
          <w:rFonts w:ascii="Times New Roman" w:hAnsi="Times New Roman"/>
          <w:b/>
          <w:i/>
          <w:color w:val="1F497D"/>
          <w:sz w:val="22"/>
        </w:rPr>
        <w:t>B.  Key Scientific Domain Challenges</w:t>
      </w:r>
    </w:p>
    <w:p>
      <w:pPr>
        <w:pStyle w:val="ListBullet"/>
        <w:spacing w:before="0" w:after="60" w:line="276" w:lineRule="auto"/>
      </w:pPr>
      <w:r>
        <w:rPr>
          <w:rFonts w:ascii="Times New Roman" w:hAnsi="Times New Roman"/>
          <w:b/>
          <w:sz w:val="20"/>
        </w:rPr>
        <w:t xml:space="preserve">Extreme Technical Nomenclature Overload: </w:t>
      </w:r>
      <w:r>
        <w:rPr>
          <w:rFonts w:ascii="Times New Roman" w:hAnsi="Times New Roman"/>
          <w:sz w:val="20"/>
        </w:rPr>
        <w:t>Computational linguistics literature is characterized by high acronym density. Identical or overlapping token combinations frequently denote wildly disparate concepts across subfields (e.g., 'RAG' as retrieval-augmented generation versus biomedical acronyms; 'BLEU', 'ROUGE', 'METEOR', 'BERT', 'LLaMA'). Pure vector embeddings frequently conflate these symbols, necessitating hybrid lexical cross-anchoring.</w:t>
      </w:r>
    </w:p>
    <w:p>
      <w:pPr>
        <w:pStyle w:val="ListBullet"/>
        <w:spacing w:before="0" w:after="60" w:line="276" w:lineRule="auto"/>
      </w:pPr>
      <w:r>
        <w:rPr>
          <w:rFonts w:ascii="Times New Roman" w:hAnsi="Times New Roman"/>
          <w:b/>
          <w:sz w:val="20"/>
        </w:rPr>
        <w:t xml:space="preserve">Multi-Document Dispersed Evidence: </w:t>
      </w:r>
      <w:r>
        <w:rPr>
          <w:rFonts w:ascii="Times New Roman" w:hAnsi="Times New Roman"/>
          <w:sz w:val="20"/>
        </w:rPr>
        <w:t>Synthesizing cross-paper comparative questions (e.g., 'Contrast the factual verification capabilities of ROUGE-K against LLM-as-a-judge paradigms across summarization leaderboards') requires traversing distributed nodes across multiple conference proceedings.</w:t>
      </w:r>
    </w:p>
    <w:p>
      <w:pPr>
        <w:pStyle w:val="ListBullet"/>
        <w:spacing w:before="0" w:after="60" w:line="276" w:lineRule="auto"/>
      </w:pPr>
      <w:r>
        <w:rPr>
          <w:rFonts w:ascii="Times New Roman" w:hAnsi="Times New Roman"/>
          <w:b/>
          <w:sz w:val="20"/>
        </w:rPr>
        <w:t xml:space="preserve">Temporal Sensitivity and SOTA Evolution: </w:t>
      </w:r>
      <w:r>
        <w:rPr>
          <w:rFonts w:ascii="Times New Roman" w:hAnsi="Times New Roman"/>
          <w:sz w:val="20"/>
        </w:rPr>
        <w:t>NLP benchmarks age rapidly. An algorithmic baseline recognized as state-of-the-art in an ACL 2020 publication may represent an outdated heuristic by EMNLP 2024. The retrieval and synthesis engine must remain temporally grounded.</w:t>
      </w:r>
    </w:p>
    <w:p>
      <w:pPr>
        <w:keepNext/>
        <w:spacing w:before="320" w:after="120"/>
      </w:pPr>
      <w:r>
        <w:rPr>
          <w:rFonts w:ascii="Times New Roman" w:hAnsi="Times New Roman"/>
          <w:b/>
          <w:color w:val="002060"/>
          <w:sz w:val="24"/>
        </w:rPr>
        <w:t>IV.  SYSTEM ARCHITECTURE AND METHODOLOGY</w:t>
      </w:r>
    </w:p>
    <w:p>
      <w:pPr>
        <w:spacing w:before="0" w:after="120" w:line="276" w:lineRule="auto"/>
        <w:ind w:firstLine="288"/>
      </w:pPr>
      <w:r>
        <w:rPr>
          <w:rFonts w:ascii="Times New Roman" w:hAnsi="Times New Roman"/>
          <w:sz w:val="20"/>
        </w:rPr>
        <w:t>The architectural topology of GenGO Ultra is structured into four decoupled subsystems: (1) Corpus Ingestion and Local Vectorization Pipeline, (2) Weaviate Cloud Hybrid Storage Engine, (3) Autonomous 5-Node Agentic State Machine, and (4) Groq LPU Decoupled Real-Time Inference Subsystem.</w:t>
      </w:r>
    </w:p>
    <w:p>
      <w:pPr>
        <w:keepNext/>
        <w:spacing w:before="240" w:after="80"/>
      </w:pPr>
      <w:r>
        <w:rPr>
          <w:rFonts w:ascii="Times New Roman" w:hAnsi="Times New Roman"/>
          <w:b/>
          <w:i/>
          <w:color w:val="1F497D"/>
          <w:sz w:val="22"/>
        </w:rPr>
        <w:t>A.  Corpus Ingestion and Deterministic Semantic Parsing</w:t>
      </w:r>
    </w:p>
    <w:p>
      <w:pPr>
        <w:spacing w:before="0" w:after="120" w:line="276" w:lineRule="auto"/>
        <w:ind w:firstLine="288"/>
      </w:pPr>
      <w:r>
        <w:rPr>
          <w:rFonts w:ascii="Times New Roman" w:hAnsi="Times New Roman"/>
          <w:sz w:val="20"/>
        </w:rPr>
        <w:t>The dataset acquisition pipeline is implemented via an automated ingestion engine (scripts/ingest_acl_papers.mjs) configured to stream, sanitize, and vectorize 10,000 publications from upstream ACL Anthology repositories. The XML streaming client retrieves raw publication manifests across flagship proceedings:</w:t>
      </w:r>
    </w:p>
    <w:p>
      <w:pPr>
        <w:pStyle w:val="ListBullet"/>
        <w:spacing w:before="0" w:after="60" w:line="276" w:lineRule="auto"/>
      </w:pPr>
      <w:r>
        <w:rPr>
          <w:rFonts w:ascii="Times New Roman" w:hAnsi="Times New Roman"/>
          <w:b/>
          <w:sz w:val="20"/>
        </w:rPr>
        <w:t xml:space="preserve">ACL (Annual Meeting of the ACL): </w:t>
      </w:r>
      <w:r>
        <w:rPr>
          <w:rFonts w:ascii="Times New Roman" w:hAnsi="Times New Roman"/>
          <w:sz w:val="20"/>
        </w:rPr>
        <w:t>Proceedings from 2019 through 2024 (Long, Short, and Demonstration tracks).</w:t>
      </w:r>
    </w:p>
    <w:p>
      <w:pPr>
        <w:pStyle w:val="ListBullet"/>
        <w:spacing w:before="0" w:after="60" w:line="276" w:lineRule="auto"/>
      </w:pPr>
      <w:r>
        <w:rPr>
          <w:rFonts w:ascii="Times New Roman" w:hAnsi="Times New Roman"/>
          <w:b/>
          <w:sz w:val="20"/>
        </w:rPr>
        <w:t xml:space="preserve">EMNLP (Empirical Methods in NLP): </w:t>
      </w:r>
      <w:r>
        <w:rPr>
          <w:rFonts w:ascii="Times New Roman" w:hAnsi="Times New Roman"/>
          <w:sz w:val="20"/>
        </w:rPr>
        <w:t>Proceedings from 2019 through 2024 (Main and Findings).</w:t>
      </w:r>
    </w:p>
    <w:p>
      <w:pPr>
        <w:pStyle w:val="ListBullet"/>
        <w:spacing w:before="0" w:after="60" w:line="276" w:lineRule="auto"/>
      </w:pPr>
      <w:r>
        <w:rPr>
          <w:rFonts w:ascii="Times New Roman" w:hAnsi="Times New Roman"/>
          <w:b/>
          <w:sz w:val="20"/>
        </w:rPr>
        <w:t xml:space="preserve">NAACL, EACL, and COLING: </w:t>
      </w:r>
      <w:r>
        <w:rPr>
          <w:rFonts w:ascii="Times New Roman" w:hAnsi="Times New Roman"/>
          <w:sz w:val="20"/>
        </w:rPr>
        <w:t>Major regional and international proceedings from 2019 through 2024.</w:t>
      </w:r>
    </w:p>
    <w:p>
      <w:pPr>
        <w:spacing w:before="0" w:after="120" w:line="276" w:lineRule="auto"/>
        <w:ind w:firstLine="288"/>
      </w:pPr>
      <w:r>
        <w:rPr>
          <w:rFonts w:ascii="Times New Roman" w:hAnsi="Times New Roman"/>
          <w:sz w:val="20"/>
        </w:rPr>
        <w:t>Each raw publication record contains raw XML markup, escape sequences, and inconsistent author affiliation strings. The pipeline executes rigorous regular expression filters to strip formatting artifacts while preserving mathematical notation. Crucially, the abstract is partitioned into structural facets using boundary segmentation heuristics:</w:t>
      </w:r>
    </w:p>
    <w:p>
      <w:pPr>
        <w:spacing w:before="0" w:after="120" w:line="276" w:lineRule="auto"/>
        <w:ind w:firstLine="288"/>
      </w:pPr>
      <w:r>
        <w:rPr>
          <w:rFonts w:ascii="Times New Roman" w:hAnsi="Times New Roman"/>
          <w:sz w:val="20"/>
        </w:rPr>
        <w:t>challenge = ExtractSentence(abstract, index = 0)</w:t>
      </w:r>
    </w:p>
    <w:p>
      <w:pPr>
        <w:spacing w:before="0" w:after="120" w:line="276" w:lineRule="auto"/>
        <w:ind w:firstLine="288"/>
      </w:pPr>
      <w:r>
        <w:rPr>
          <w:rFonts w:ascii="Times New Roman" w:hAnsi="Times New Roman"/>
          <w:sz w:val="20"/>
        </w:rPr>
        <w:t>approach = ExtractSentences(abstract, index = 1 to n-2)</w:t>
      </w:r>
    </w:p>
    <w:p>
      <w:pPr>
        <w:spacing w:before="0" w:after="120" w:line="276" w:lineRule="auto"/>
        <w:ind w:firstLine="288"/>
      </w:pPr>
      <w:r>
        <w:rPr>
          <w:rFonts w:ascii="Times New Roman" w:hAnsi="Times New Roman"/>
          <w:sz w:val="20"/>
        </w:rPr>
        <w:t>outcome = ExtractSentence(abstract, index = n-1)</w:t>
      </w:r>
    </w:p>
    <w:p>
      <w:pPr>
        <w:keepNext/>
        <w:spacing w:before="240" w:after="80"/>
      </w:pPr>
      <w:r>
        <w:rPr>
          <w:rFonts w:ascii="Times New Roman" w:hAnsi="Times New Roman"/>
          <w:b/>
          <w:i/>
          <w:color w:val="1F497D"/>
          <w:sz w:val="22"/>
        </w:rPr>
        <w:t>B.  Dense Embedding Generation and Vector Space</w:t>
      </w:r>
    </w:p>
    <w:p>
      <w:pPr>
        <w:spacing w:before="0" w:after="120" w:line="276" w:lineRule="auto"/>
        <w:ind w:firstLine="288"/>
      </w:pPr>
      <w:r>
        <w:rPr>
          <w:rFonts w:ascii="Times New Roman" w:hAnsi="Times New Roman"/>
          <w:sz w:val="20"/>
        </w:rPr>
        <w:t>Dense vector representations are computed client-side using the BAAI General Embedding model (Xenova/bge-small-en-v1.5) executed via local ONNX runtime pipelines. The model maps variable-length scientific text strings into a normalized D = 384 dimensional continuous embedding space. The mathematical formulation for dense semantic similarity between query vector q and document vector d is defined by the cosine metric:</w:t>
      </w:r>
    </w:p>
    <w:p>
      <w:pPr>
        <w:spacing w:before="0" w:after="120" w:line="276" w:lineRule="auto"/>
        <w:ind w:firstLine="288"/>
      </w:pPr>
      <w:r>
        <w:rPr>
          <w:rFonts w:ascii="Times New Roman" w:hAnsi="Times New Roman"/>
          <w:sz w:val="20"/>
        </w:rPr>
        <w:t>Sim_cosine(q, d) = (q . d) / (||q||_2 * ||d||_2) = sum(q_i * d_i) / [sqrt(sum(q_i^2)) * sqrt(sum(d_i^2))]</w:t>
      </w:r>
    </w:p>
    <w:p>
      <w:pPr>
        <w:spacing w:before="0" w:after="120" w:line="276" w:lineRule="auto"/>
        <w:ind w:firstLine="288"/>
      </w:pPr>
      <w:r>
        <w:rPr>
          <w:rFonts w:ascii="Times New Roman" w:hAnsi="Times New Roman"/>
          <w:sz w:val="20"/>
        </w:rPr>
        <w:t>By executing vectorization in local memory during ingestion, zero textual context is leaked to third-party proprietary embedding APIs, ensuring data privacy and deterministic reproducibility.</w:t>
      </w:r>
    </w:p>
    <w:p>
      <w:pPr>
        <w:keepNext/>
        <w:spacing w:before="240" w:after="80"/>
      </w:pPr>
      <w:r>
        <w:rPr>
          <w:rFonts w:ascii="Times New Roman" w:hAnsi="Times New Roman"/>
          <w:b/>
          <w:i/>
          <w:color w:val="1F497D"/>
          <w:sz w:val="22"/>
        </w:rPr>
        <w:t>C.  Weaviate Cloud Hybrid Retrieval and Reciprocal Rank Fusion</w:t>
      </w:r>
    </w:p>
    <w:p>
      <w:pPr>
        <w:spacing w:before="0" w:after="120" w:line="276" w:lineRule="auto"/>
        <w:ind w:firstLine="288"/>
      </w:pPr>
      <w:r>
        <w:rPr>
          <w:rFonts w:ascii="Times New Roman" w:hAnsi="Times New Roman"/>
          <w:sz w:val="20"/>
        </w:rPr>
        <w:t>The vectorized corpus is deployed to an enterprise Weaviate Cloud cluster operating on AWS infrastructure (eu-central-1). Within Weaviate, the 'Papers' collection employs Hierarchical Navigable Small World (HNSW) graphs for vector indexing alongside an inverted index for BM25 lexical token matching.</w:t>
      </w:r>
    </w:p>
    <w:p>
      <w:pPr>
        <w:spacing w:before="0" w:after="120" w:line="276" w:lineRule="auto"/>
        <w:ind w:firstLine="288"/>
      </w:pPr>
      <w:r>
        <w:rPr>
          <w:rFonts w:ascii="Times New Roman" w:hAnsi="Times New Roman"/>
          <w:sz w:val="20"/>
        </w:rPr>
        <w:t>To capitalize on both dense semantic understanding and exact keyword preservation, GenGO Ultra implements Reciprocal Rank Fusion (RRF) hybrid querying:</w:t>
      </w:r>
    </w:p>
    <w:p>
      <w:pPr>
        <w:spacing w:before="0" w:after="120" w:line="276" w:lineRule="auto"/>
        <w:ind w:firstLine="288"/>
      </w:pPr>
      <w:r>
        <w:rPr>
          <w:rFonts w:ascii="Times New Roman" w:hAnsi="Times New Roman"/>
          <w:sz w:val="20"/>
        </w:rPr>
        <w:t>Score_hybrid(d) = alpha * Score_dense(q, d) + (1 - alpha) * Score_BM25(q, d)</w:t>
      </w:r>
    </w:p>
    <w:p>
      <w:pPr>
        <w:spacing w:before="0" w:after="120" w:line="276" w:lineRule="auto"/>
        <w:ind w:firstLine="288"/>
      </w:pPr>
      <w:r>
        <w:rPr>
          <w:rFonts w:ascii="Times New Roman" w:hAnsi="Times New Roman"/>
          <w:sz w:val="20"/>
        </w:rPr>
        <w:t>Through rigorous empirical grid-search across our development set, the dense balance parameter was established at alpha = 0.70. This ensures that while semantic conceptual matching dominates retrieval, exact acronyms (e.g., 'ROUGE-K', 'G-Eval') and specific author surnames receive mandatory lexical boosts.</w:t>
      </w:r>
    </w:p>
    <w:p>
      <w:pPr>
        <w:keepNext/>
        <w:spacing w:before="240" w:after="80"/>
      </w:pPr>
      <w:r>
        <w:rPr>
          <w:rFonts w:ascii="Times New Roman" w:hAnsi="Times New Roman"/>
          <w:b/>
          <w:i/>
          <w:color w:val="1F497D"/>
          <w:sz w:val="22"/>
        </w:rPr>
        <w:t>D.  The 5-Node Agentic Workflow (LangGraph Principles)</w:t>
      </w:r>
    </w:p>
    <w:p>
      <w:pPr>
        <w:spacing w:before="0" w:after="120" w:line="276" w:lineRule="auto"/>
        <w:ind w:firstLine="288"/>
      </w:pPr>
      <w:r>
        <w:rPr>
          <w:rFonts w:ascii="Times New Roman" w:hAnsi="Times New Roman"/>
          <w:sz w:val="20"/>
        </w:rPr>
        <w:t>Unlike conventional RAG pipelines that execute a brittle linear chain, GenGO Ultra models inquiry resolution as an autonomous state machine containing five specialized operational nodes:</w:t>
      </w:r>
    </w:p>
    <w:p>
      <w:pPr>
        <w:keepNext/>
        <w:spacing w:before="160" w:after="40"/>
      </w:pPr>
      <w:r>
        <w:rPr>
          <w:rFonts w:ascii="Times New Roman" w:hAnsi="Times New Roman"/>
          <w:b/>
          <w:sz w:val="20"/>
        </w:rPr>
        <w:t xml:space="preserve">Node 1) Query Planner and Entity Extractor: </w:t>
      </w:r>
    </w:p>
    <w:p>
      <w:pPr>
        <w:spacing w:before="0" w:after="120" w:line="276" w:lineRule="auto"/>
        <w:ind w:firstLine="288"/>
      </w:pPr>
      <w:r>
        <w:rPr>
          <w:rFonts w:ascii="Times New Roman" w:hAnsi="Times New Roman"/>
          <w:sz w:val="20"/>
        </w:rPr>
        <w:t>The incoming user utterance is analyzed to determine its operational classification (single-hop factual, multi-hop synthesis, comparative, or relational). The node extracts target entity strings, identifies temporal bounds (e.g., 'after 2022'), and generates expanded hybrid search queries.</w:t>
      </w:r>
    </w:p>
    <w:p>
      <w:pPr>
        <w:keepNext/>
        <w:spacing w:before="160" w:after="40"/>
      </w:pPr>
      <w:r>
        <w:rPr>
          <w:rFonts w:ascii="Times New Roman" w:hAnsi="Times New Roman"/>
          <w:b/>
          <w:sz w:val="20"/>
        </w:rPr>
        <w:t xml:space="preserve">Node 2) Hybrid Cloud Retrieval Node: </w:t>
      </w:r>
    </w:p>
    <w:p>
      <w:pPr>
        <w:spacing w:before="0" w:after="120" w:line="276" w:lineRule="auto"/>
        <w:ind w:firstLine="288"/>
      </w:pPr>
      <w:r>
        <w:rPr>
          <w:rFonts w:ascii="Times New Roman" w:hAnsi="Times New Roman"/>
          <w:sz w:val="20"/>
        </w:rPr>
        <w:t>The expanded queries are dispatched to Weaviate Cloud, retrieving the top-k (k = 5) candidate paper objects via hybrid fusion scoring. Each retrieved candidate contains complete structural metadata, abstract facets, and publication identifiers.</w:t>
      </w:r>
    </w:p>
    <w:p>
      <w:pPr>
        <w:keepNext/>
        <w:spacing w:before="160" w:after="40"/>
      </w:pPr>
      <w:r>
        <w:rPr>
          <w:rFonts w:ascii="Times New Roman" w:hAnsi="Times New Roman"/>
          <w:b/>
          <w:sz w:val="20"/>
        </w:rPr>
        <w:t xml:space="preserve">Node 3) Context Relevance Grader: </w:t>
      </w:r>
    </w:p>
    <w:p>
      <w:pPr>
        <w:spacing w:before="0" w:after="120" w:line="276" w:lineRule="auto"/>
        <w:ind w:firstLine="288"/>
      </w:pPr>
      <w:r>
        <w:rPr>
          <w:rFonts w:ascii="Times New Roman" w:hAnsi="Times New Roman"/>
          <w:sz w:val="20"/>
        </w:rPr>
        <w:t>Rather than blindly forwarding candidate papers to the generative model, this node evaluates the relevance of each retrieved passage against the query. A relevance score R in [0, 1] is computed. If the aggregated relevance falls below an empirical threshold (tau = 0.65), the system recognizes that initial retrieval was misaligned and branches to an internal Query Reformulation Sub-routine, adjusting search parameters before re-querying.</w:t>
      </w:r>
    </w:p>
    <w:p>
      <w:pPr>
        <w:keepNext/>
        <w:spacing w:before="160" w:after="40"/>
      </w:pPr>
      <w:r>
        <w:rPr>
          <w:rFonts w:ascii="Times New Roman" w:hAnsi="Times New Roman"/>
          <w:b/>
          <w:sz w:val="20"/>
        </w:rPr>
        <w:t xml:space="preserve">Node 4) Grounded Synthesis Generator: </w:t>
      </w:r>
    </w:p>
    <w:p>
      <w:pPr>
        <w:spacing w:before="0" w:after="120" w:line="276" w:lineRule="auto"/>
        <w:ind w:firstLine="288"/>
      </w:pPr>
      <w:r>
        <w:rPr>
          <w:rFonts w:ascii="Times New Roman" w:hAnsi="Times New Roman"/>
          <w:sz w:val="20"/>
        </w:rPr>
        <w:t>Once candidate context is validated, the generator node synthesizes a comprehensive response. The prompt structure strictly enforces academic attribution: every empirical assertion, architectural claim, or benchmark comparison must cite the exact canonical publication identifier (e.g., [2023.acl-long.890]).</w:t>
      </w:r>
    </w:p>
    <w:p>
      <w:pPr>
        <w:keepNext/>
        <w:spacing w:before="160" w:after="40"/>
      </w:pPr>
      <w:r>
        <w:rPr>
          <w:rFonts w:ascii="Times New Roman" w:hAnsi="Times New Roman"/>
          <w:b/>
          <w:sz w:val="20"/>
        </w:rPr>
        <w:t xml:space="preserve">Node 5) Hallucination and Factuality Verifier: </w:t>
      </w:r>
    </w:p>
    <w:p>
      <w:pPr>
        <w:spacing w:before="0" w:after="120" w:line="276" w:lineRule="auto"/>
        <w:ind w:firstLine="288"/>
      </w:pPr>
      <w:r>
        <w:rPr>
          <w:rFonts w:ascii="Times New Roman" w:hAnsi="Times New Roman"/>
          <w:sz w:val="20"/>
        </w:rPr>
        <w:t>Before streaming output to the client interface, a secondary verification pass compares the generated assertions against the source abstracts. If unsupported claims, contradictory numerical metrics, or fabricated author names are detected, the node regenerates or redacts the compromised segment.</w:t>
      </w:r>
    </w:p>
    <w:p>
      <w:pPr>
        <w:keepNext/>
        <w:spacing w:before="240" w:after="80"/>
      </w:pPr>
      <w:r>
        <w:rPr>
          <w:rFonts w:ascii="Times New Roman" w:hAnsi="Times New Roman"/>
          <w:b/>
          <w:i/>
          <w:color w:val="1F497D"/>
          <w:sz w:val="22"/>
        </w:rPr>
        <w:t>E.  Decoupled Hardware Acceleration via Groq LPUs</w:t>
      </w:r>
    </w:p>
    <w:p>
      <w:pPr>
        <w:spacing w:before="0" w:after="120" w:line="276" w:lineRule="auto"/>
        <w:ind w:firstLine="288"/>
      </w:pPr>
      <w:r>
        <w:rPr>
          <w:rFonts w:ascii="Times New Roman" w:hAnsi="Times New Roman"/>
          <w:sz w:val="20"/>
        </w:rPr>
        <w:t>Multi-node agentic pipelines typically suffer from prohibitive execution latencies when querying traditional remote cloud APIs (where each sequential LLM call adds 1.5 to 3.0 seconds). GenGO Ultra completely overcomes this bottleneck by routing all neural operations through Groq Language Processing Units (LPUs).</w:t>
      </w:r>
    </w:p>
    <w:p>
      <w:pPr>
        <w:spacing w:before="0" w:after="120" w:line="276" w:lineRule="auto"/>
        <w:ind w:firstLine="288"/>
      </w:pPr>
      <w:r>
        <w:rPr>
          <w:rFonts w:ascii="Times New Roman" w:hAnsi="Times New Roman"/>
          <w:sz w:val="20"/>
        </w:rPr>
        <w:t>The Groq LPU architecture leverages a deterministic Tensor Streaming Processor (TSP) design that eliminates memory bandwidth bottlenecks inherent in conventional GPUs. Utilizing models such as LLaMA-3.3-70B-Versatile on Groq hardware:</w:t>
      </w:r>
    </w:p>
    <w:p>
      <w:pPr>
        <w:pStyle w:val="ListBullet"/>
        <w:spacing w:before="0" w:after="60" w:line="276" w:lineRule="auto"/>
      </w:pPr>
      <w:r>
        <w:rPr>
          <w:rFonts w:ascii="Times New Roman" w:hAnsi="Times New Roman"/>
          <w:b/>
          <w:sz w:val="20"/>
        </w:rPr>
        <w:t xml:space="preserve">Time-to-First-Token (TTFT): </w:t>
      </w:r>
      <w:r>
        <w:rPr>
          <w:rFonts w:ascii="Times New Roman" w:hAnsi="Times New Roman"/>
          <w:sz w:val="20"/>
        </w:rPr>
        <w:t>Achieved in under 380 milliseconds.</w:t>
      </w:r>
    </w:p>
    <w:p>
      <w:pPr>
        <w:pStyle w:val="ListBullet"/>
        <w:spacing w:before="0" w:after="60" w:line="276" w:lineRule="auto"/>
      </w:pPr>
      <w:r>
        <w:rPr>
          <w:rFonts w:ascii="Times New Roman" w:hAnsi="Times New Roman"/>
          <w:b/>
          <w:sz w:val="20"/>
        </w:rPr>
        <w:t xml:space="preserve">Sustained Throughput: </w:t>
      </w:r>
      <w:r>
        <w:rPr>
          <w:rFonts w:ascii="Times New Roman" w:hAnsi="Times New Roman"/>
          <w:sz w:val="20"/>
        </w:rPr>
        <w:t>Maintains generation speeds exceeding 250 tokens per second.</w:t>
      </w:r>
    </w:p>
    <w:p>
      <w:pPr>
        <w:pStyle w:val="ListBullet"/>
        <w:spacing w:before="0" w:after="60" w:line="276" w:lineRule="auto"/>
      </w:pPr>
      <w:r>
        <w:rPr>
          <w:rFonts w:ascii="Times New Roman" w:hAnsi="Times New Roman"/>
          <w:b/>
          <w:sz w:val="20"/>
        </w:rPr>
        <w:t xml:space="preserve">End-to-End Pipeline Latency: </w:t>
      </w:r>
      <w:r>
        <w:rPr>
          <w:rFonts w:ascii="Times New Roman" w:hAnsi="Times New Roman"/>
          <w:sz w:val="20"/>
        </w:rPr>
        <w:t>The entire 5-node agentic loop (planning, retrieval, grading, synthesis, and verification) completes within 1.2 to 1.6 seconds, providing real-time responsiveness.</w:t>
      </w:r>
    </w:p>
    <w:p>
      <w:pPr>
        <w:keepNext/>
        <w:spacing w:before="240" w:after="80"/>
      </w:pPr>
      <w:r>
        <w:rPr>
          <w:rFonts w:ascii="Times New Roman" w:hAnsi="Times New Roman"/>
          <w:b/>
          <w:i/>
          <w:color w:val="1F497D"/>
          <w:sz w:val="22"/>
        </w:rPr>
        <w:t>F.  Dynamic Knowledge Graph Topology Extraction</w:t>
      </w:r>
    </w:p>
    <w:p>
      <w:pPr>
        <w:spacing w:before="0" w:after="120" w:line="276" w:lineRule="auto"/>
        <w:ind w:firstLine="288"/>
      </w:pPr>
      <w:r>
        <w:rPr>
          <w:rFonts w:ascii="Times New Roman" w:hAnsi="Times New Roman"/>
          <w:sz w:val="20"/>
        </w:rPr>
        <w:t>In parallel with conversational text generation, GenGO Ultra constructs a dynamic sub-graph G = (V, E) corresponding to the retrieved scientific context. Nodes V represent Papers, Authors, Methodologies, and NLP Tasks. Directed edges E represent typed relationships (e.g., PROPOSES, BENCHMARKS_AGAINST, ADDRESSES_CHALLENGE, CO_AUTHORED_WITH). The client interface renders these sub-graphs using force-directed algorithms, allowing researchers to visually navigate conceptual clusters directly within the DOM.</w:t>
      </w:r>
    </w:p>
    <w:p>
      <w:pPr>
        <w:keepNext/>
        <w:spacing w:before="320" w:after="120"/>
      </w:pPr>
      <w:r>
        <w:rPr>
          <w:rFonts w:ascii="Times New Roman" w:hAnsi="Times New Roman"/>
          <w:b/>
          <w:color w:val="002060"/>
          <w:sz w:val="24"/>
        </w:rPr>
        <w:t>V.  EXPERIMENTAL SETUP AND EVALUATION</w:t>
      </w:r>
    </w:p>
    <w:p>
      <w:pPr>
        <w:spacing w:before="0" w:after="120" w:line="276" w:lineRule="auto"/>
        <w:ind w:firstLine="288"/>
      </w:pPr>
      <w:r>
        <w:rPr>
          <w:rFonts w:ascii="Times New Roman" w:hAnsi="Times New Roman"/>
          <w:sz w:val="20"/>
        </w:rPr>
        <w:t>To evaluate GenGO Ultra, we established a rigorous benchmark protocol across 100 standardized computational linguistics test questions.</w:t>
      </w:r>
    </w:p>
    <w:p>
      <w:pPr>
        <w:keepNext/>
        <w:spacing w:before="240" w:after="80"/>
      </w:pPr>
      <w:r>
        <w:rPr>
          <w:rFonts w:ascii="Times New Roman" w:hAnsi="Times New Roman"/>
          <w:b/>
          <w:i/>
          <w:color w:val="1F497D"/>
          <w:sz w:val="22"/>
        </w:rPr>
        <w:t>A.  Benchmark Dataset Stratification</w:t>
      </w:r>
    </w:p>
    <w:p>
      <w:pPr>
        <w:spacing w:before="0" w:after="120" w:line="276" w:lineRule="auto"/>
        <w:ind w:firstLine="288"/>
      </w:pPr>
      <w:r>
        <w:rPr>
          <w:rFonts w:ascii="Times New Roman" w:hAnsi="Times New Roman"/>
          <w:sz w:val="20"/>
        </w:rPr>
        <w:t>The 100 evaluation inquiries were systematically divided into five difficulty tiers (20 questions per tier):</w:t>
      </w:r>
    </w:p>
    <w:p>
      <w:pPr>
        <w:pStyle w:val="ListBullet"/>
        <w:spacing w:before="0" w:after="60" w:line="276" w:lineRule="auto"/>
      </w:pPr>
      <w:r>
        <w:rPr>
          <w:rFonts w:ascii="Times New Roman" w:hAnsi="Times New Roman"/>
          <w:b/>
          <w:sz w:val="20"/>
        </w:rPr>
        <w:t xml:space="preserve">Tier A (Single-Hop Factual): </w:t>
      </w:r>
      <w:r>
        <w:rPr>
          <w:rFonts w:ascii="Times New Roman" w:hAnsi="Times New Roman"/>
          <w:sz w:val="20"/>
        </w:rPr>
        <w:t>Inquiries addressing specific standalone attributes within single publications (e.g., 'What core metric is proposed in the ROUGE-K paper?').</w:t>
      </w:r>
    </w:p>
    <w:p>
      <w:pPr>
        <w:pStyle w:val="ListBullet"/>
        <w:spacing w:before="0" w:after="60" w:line="276" w:lineRule="auto"/>
      </w:pPr>
      <w:r>
        <w:rPr>
          <w:rFonts w:ascii="Times New Roman" w:hAnsi="Times New Roman"/>
          <w:b/>
          <w:sz w:val="20"/>
        </w:rPr>
        <w:t xml:space="preserve">Tier B (Multi-Hop Synthesis): </w:t>
      </w:r>
      <w:r>
        <w:rPr>
          <w:rFonts w:ascii="Times New Roman" w:hAnsi="Times New Roman"/>
          <w:sz w:val="20"/>
        </w:rPr>
        <w:t>Questions requiring the aggregation of evidence across distinct conference proceedings (e.g., 'Which ACL 2023 papers address factual inconsistency in abstractive summarization using knowledge graphs?').</w:t>
      </w:r>
    </w:p>
    <w:p>
      <w:pPr>
        <w:pStyle w:val="ListBullet"/>
        <w:spacing w:before="0" w:after="60" w:line="276" w:lineRule="auto"/>
      </w:pPr>
      <w:r>
        <w:rPr>
          <w:rFonts w:ascii="Times New Roman" w:hAnsi="Times New Roman"/>
          <w:b/>
          <w:sz w:val="20"/>
        </w:rPr>
        <w:t xml:space="preserve">Tier C (Relational Reasoning): </w:t>
      </w:r>
      <w:r>
        <w:rPr>
          <w:rFonts w:ascii="Times New Roman" w:hAnsi="Times New Roman"/>
          <w:sz w:val="20"/>
        </w:rPr>
        <w:t>Inquiries targeting structural relationships between researchers, institutions, and models (e.g., 'Trace the methodological lineage between GenGO and earlier ACL demonstration systems').</w:t>
      </w:r>
    </w:p>
    <w:p>
      <w:pPr>
        <w:pStyle w:val="ListBullet"/>
        <w:spacing w:before="0" w:after="60" w:line="276" w:lineRule="auto"/>
      </w:pPr>
      <w:r>
        <w:rPr>
          <w:rFonts w:ascii="Times New Roman" w:hAnsi="Times New Roman"/>
          <w:b/>
          <w:sz w:val="20"/>
        </w:rPr>
        <w:t xml:space="preserve">Tier D (Comparative Analysis): </w:t>
      </w:r>
      <w:r>
        <w:rPr>
          <w:rFonts w:ascii="Times New Roman" w:hAnsi="Times New Roman"/>
          <w:sz w:val="20"/>
        </w:rPr>
        <w:t>Questions requiring systematic attribute-by-attribute comparison across competing architectures or metrics.</w:t>
      </w:r>
    </w:p>
    <w:p>
      <w:pPr>
        <w:pStyle w:val="ListBullet"/>
        <w:spacing w:before="0" w:after="60" w:line="276" w:lineRule="auto"/>
      </w:pPr>
      <w:r>
        <w:rPr>
          <w:rFonts w:ascii="Times New Roman" w:hAnsi="Times New Roman"/>
          <w:b/>
          <w:sz w:val="20"/>
        </w:rPr>
        <w:t xml:space="preserve">Tier E (Adversarial / Hallucination Test): </w:t>
      </w:r>
      <w:r>
        <w:rPr>
          <w:rFonts w:ascii="Times New Roman" w:hAnsi="Times New Roman"/>
          <w:sz w:val="20"/>
        </w:rPr>
        <w:t>Plausible-sounding queries containing false premises or unverified claims (e.g., 'What are the benchmark scores of the LLaMA-5 architecture presented at ACL 2022?').</w:t>
      </w:r>
    </w:p>
    <w:p>
      <w:pPr>
        <w:keepNext/>
        <w:spacing w:before="240" w:after="80"/>
      </w:pPr>
      <w:r>
        <w:rPr>
          <w:rFonts w:ascii="Times New Roman" w:hAnsi="Times New Roman"/>
          <w:b/>
          <w:i/>
          <w:color w:val="1F497D"/>
          <w:sz w:val="22"/>
        </w:rPr>
        <w:t>B.  Baseline Systems</w:t>
      </w:r>
    </w:p>
    <w:p>
      <w:pPr>
        <w:spacing w:before="0" w:after="120" w:line="276" w:lineRule="auto"/>
        <w:ind w:firstLine="288"/>
      </w:pPr>
      <w:r>
        <w:rPr>
          <w:rFonts w:ascii="Times New Roman" w:hAnsi="Times New Roman"/>
          <w:sz w:val="20"/>
        </w:rPr>
        <w:t>We benchmark GenGO Ultra against two established architectural paradigms:</w:t>
      </w:r>
    </w:p>
    <w:p>
      <w:pPr>
        <w:pStyle w:val="ListBullet"/>
        <w:spacing w:before="0" w:after="60" w:line="276" w:lineRule="auto"/>
      </w:pPr>
      <w:r>
        <w:rPr>
          <w:rFonts w:ascii="Times New Roman" w:hAnsi="Times New Roman"/>
          <w:b/>
          <w:sz w:val="20"/>
        </w:rPr>
        <w:t xml:space="preserve">Baseline 1 (Vanilla LLM): </w:t>
      </w:r>
      <w:r>
        <w:rPr>
          <w:rFonts w:ascii="Times New Roman" w:hAnsi="Times New Roman"/>
          <w:sz w:val="20"/>
        </w:rPr>
        <w:t>LLaMA-3.3-70B executed without external retrieval context, relying solely on parametric weights.</w:t>
      </w:r>
    </w:p>
    <w:p>
      <w:pPr>
        <w:pStyle w:val="ListBullet"/>
        <w:spacing w:before="0" w:after="60" w:line="276" w:lineRule="auto"/>
      </w:pPr>
      <w:r>
        <w:rPr>
          <w:rFonts w:ascii="Times New Roman" w:hAnsi="Times New Roman"/>
          <w:b/>
          <w:sz w:val="20"/>
        </w:rPr>
        <w:t xml:space="preserve">Baseline 2 (Standard Vector RAG): </w:t>
      </w:r>
      <w:r>
        <w:rPr>
          <w:rFonts w:ascii="Times New Roman" w:hAnsi="Times New Roman"/>
          <w:sz w:val="20"/>
        </w:rPr>
        <w:t>Conventional single-hop RAG using dense cosine similarity over Weaviate without agentic grading or verification.</w:t>
      </w:r>
    </w:p>
    <w:p>
      <w:pPr>
        <w:pStyle w:val="ListBullet"/>
        <w:spacing w:before="0" w:after="60" w:line="276" w:lineRule="auto"/>
      </w:pPr>
      <w:r>
        <w:rPr>
          <w:rFonts w:ascii="Times New Roman" w:hAnsi="Times New Roman"/>
          <w:b/>
          <w:sz w:val="20"/>
        </w:rPr>
        <w:t xml:space="preserve">GenGO Ultra (Full System): </w:t>
      </w:r>
      <w:r>
        <w:rPr>
          <w:rFonts w:ascii="Times New Roman" w:hAnsi="Times New Roman"/>
          <w:sz w:val="20"/>
        </w:rPr>
        <w:t>The complete 5-node agentic workflow with hybrid Weaviate search (10,000 papers), context grading, and LPU acceleration.</w:t>
      </w:r>
    </w:p>
    <w:p>
      <w:pPr>
        <w:keepNext/>
        <w:spacing w:before="240" w:after="80"/>
      </w:pPr>
      <w:r>
        <w:rPr>
          <w:rFonts w:ascii="Times New Roman" w:hAnsi="Times New Roman"/>
          <w:b/>
          <w:i/>
          <w:color w:val="1F497D"/>
          <w:sz w:val="22"/>
        </w:rPr>
        <w:t>C.  Evaluation Metrics</w:t>
      </w:r>
    </w:p>
    <w:p>
      <w:pPr>
        <w:spacing w:before="0" w:after="120" w:line="276" w:lineRule="auto"/>
        <w:ind w:firstLine="288"/>
      </w:pPr>
      <w:r>
        <w:rPr>
          <w:rFonts w:ascii="Times New Roman" w:hAnsi="Times New Roman"/>
          <w:sz w:val="20"/>
        </w:rPr>
        <w:t>Performance is quantified using five standardized metrics:</w:t>
      </w:r>
    </w:p>
    <w:p>
      <w:pPr>
        <w:pStyle w:val="ListBullet"/>
        <w:spacing w:before="0" w:after="60" w:line="276" w:lineRule="auto"/>
      </w:pPr>
      <w:r>
        <w:rPr>
          <w:rFonts w:ascii="Times New Roman" w:hAnsi="Times New Roman"/>
          <w:b/>
          <w:sz w:val="20"/>
        </w:rPr>
        <w:t xml:space="preserve">Exact Match (EM %): </w:t>
      </w:r>
      <w:r>
        <w:rPr>
          <w:rFonts w:ascii="Times New Roman" w:hAnsi="Times New Roman"/>
          <w:sz w:val="20"/>
        </w:rPr>
        <w:t>Percentage of outputs that match reference ground-truth metrics, model names, and author citations exactly.</w:t>
      </w:r>
    </w:p>
    <w:p>
      <w:pPr>
        <w:pStyle w:val="ListBullet"/>
        <w:spacing w:before="0" w:after="60" w:line="276" w:lineRule="auto"/>
      </w:pPr>
      <w:r>
        <w:rPr>
          <w:rFonts w:ascii="Times New Roman" w:hAnsi="Times New Roman"/>
          <w:b/>
          <w:sz w:val="20"/>
        </w:rPr>
        <w:t xml:space="preserve">Token-Level F1 Score (%): </w:t>
      </w:r>
      <w:r>
        <w:rPr>
          <w:rFonts w:ascii="Times New Roman" w:hAnsi="Times New Roman"/>
          <w:sz w:val="20"/>
        </w:rPr>
        <w:t>Harmonic mean of precision and recall computed over generated versus reference tokens.</w:t>
      </w:r>
    </w:p>
    <w:p>
      <w:pPr>
        <w:pStyle w:val="ListBullet"/>
        <w:spacing w:before="0" w:after="60" w:line="276" w:lineRule="auto"/>
      </w:pPr>
      <w:r>
        <w:rPr>
          <w:rFonts w:ascii="Times New Roman" w:hAnsi="Times New Roman"/>
          <w:b/>
          <w:sz w:val="20"/>
        </w:rPr>
        <w:t xml:space="preserve">ROUGE-L Score: </w:t>
      </w:r>
      <w:r>
        <w:rPr>
          <w:rFonts w:ascii="Times New Roman" w:hAnsi="Times New Roman"/>
          <w:sz w:val="20"/>
        </w:rPr>
        <w:t>Longest Common Subsequence overlap measuring structural fluency and coverage.</w:t>
      </w:r>
    </w:p>
    <w:p>
      <w:pPr>
        <w:pStyle w:val="ListBullet"/>
        <w:spacing w:before="0" w:after="60" w:line="276" w:lineRule="auto"/>
      </w:pPr>
      <w:r>
        <w:rPr>
          <w:rFonts w:ascii="Times New Roman" w:hAnsi="Times New Roman"/>
          <w:b/>
          <w:sz w:val="20"/>
        </w:rPr>
        <w:t xml:space="preserve">Context Recall@5 (%): </w:t>
      </w:r>
      <w:r>
        <w:rPr>
          <w:rFonts w:ascii="Times New Roman" w:hAnsi="Times New Roman"/>
          <w:sz w:val="20"/>
        </w:rPr>
        <w:t>Proportion of queries where the true reference paper was retrieved within the top-5 candidate objects.</w:t>
      </w:r>
    </w:p>
    <w:p>
      <w:pPr>
        <w:pStyle w:val="ListBullet"/>
        <w:spacing w:before="0" w:after="60" w:line="276" w:lineRule="auto"/>
      </w:pPr>
      <w:r>
        <w:rPr>
          <w:rFonts w:ascii="Times New Roman" w:hAnsi="Times New Roman"/>
          <w:b/>
          <w:sz w:val="20"/>
        </w:rPr>
        <w:t xml:space="preserve">Refusal Accuracy (%): </w:t>
      </w:r>
      <w:r>
        <w:rPr>
          <w:rFonts w:ascii="Times New Roman" w:hAnsi="Times New Roman"/>
          <w:sz w:val="20"/>
        </w:rPr>
        <w:t>Accuracy in correctly detecting and refusing to answer unanswerable or adversarial Tier E queries.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592"/>
            <w:shd w:fill="002060"/>
            <w:tcMar>
              <w:top w:w="100" w:type="dxa"/>
              <w:bottom w:w="100" w:type="dxa"/>
              <w:left w:w="100" w:type="dxa"/>
              <w:right w:w="100" w:type="dxa"/>
            </w:tcMar>
          </w:tcPr>
          <w:p>
            <w:pPr>
              <w:jc w:val="center"/>
            </w:pPr>
            <w:r>
              <w:rPr>
                <w:rFonts w:ascii="Times New Roman" w:hAnsi="Times New Roman"/>
                <w:b/>
                <w:color w:val="FFFFFF"/>
                <w:sz w:val="17"/>
              </w:rPr>
              <w:t>Architecture</w:t>
            </w:r>
          </w:p>
        </w:tc>
        <w:tc>
          <w:tcPr>
            <w:tcW w:type="dxa" w:w="1440"/>
            <w:shd w:fill="002060"/>
            <w:tcMar>
              <w:top w:w="100" w:type="dxa"/>
              <w:bottom w:w="100" w:type="dxa"/>
              <w:left w:w="100" w:type="dxa"/>
              <w:right w:w="100" w:type="dxa"/>
            </w:tcMar>
          </w:tcPr>
          <w:p>
            <w:pPr>
              <w:jc w:val="center"/>
            </w:pPr>
            <w:r>
              <w:rPr>
                <w:rFonts w:ascii="Times New Roman" w:hAnsi="Times New Roman"/>
                <w:b/>
                <w:color w:val="FFFFFF"/>
                <w:sz w:val="17"/>
              </w:rPr>
              <w:t>Exact Match</w:t>
            </w:r>
          </w:p>
        </w:tc>
        <w:tc>
          <w:tcPr>
            <w:tcW w:type="dxa" w:w="1440"/>
            <w:shd w:fill="002060"/>
            <w:tcMar>
              <w:top w:w="100" w:type="dxa"/>
              <w:bottom w:w="100" w:type="dxa"/>
              <w:left w:w="100" w:type="dxa"/>
              <w:right w:w="100" w:type="dxa"/>
            </w:tcMar>
          </w:tcPr>
          <w:p>
            <w:pPr>
              <w:jc w:val="center"/>
            </w:pPr>
            <w:r>
              <w:rPr>
                <w:rFonts w:ascii="Times New Roman" w:hAnsi="Times New Roman"/>
                <w:b/>
                <w:color w:val="FFFFFF"/>
                <w:sz w:val="17"/>
              </w:rPr>
              <w:t>Token F1</w:t>
            </w:r>
          </w:p>
        </w:tc>
        <w:tc>
          <w:tcPr>
            <w:tcW w:type="dxa" w:w="1440"/>
            <w:shd w:fill="002060"/>
            <w:tcMar>
              <w:top w:w="100" w:type="dxa"/>
              <w:bottom w:w="100" w:type="dxa"/>
              <w:left w:w="100" w:type="dxa"/>
              <w:right w:w="100" w:type="dxa"/>
            </w:tcMar>
          </w:tcPr>
          <w:p>
            <w:pPr>
              <w:jc w:val="center"/>
            </w:pPr>
            <w:r>
              <w:rPr>
                <w:rFonts w:ascii="Times New Roman" w:hAnsi="Times New Roman"/>
                <w:b/>
                <w:color w:val="FFFFFF"/>
                <w:sz w:val="17"/>
              </w:rPr>
              <w:t>ROUGE-L</w:t>
            </w:r>
          </w:p>
        </w:tc>
        <w:tc>
          <w:tcPr>
            <w:tcW w:type="dxa" w:w="1440"/>
            <w:shd w:fill="002060"/>
            <w:tcMar>
              <w:top w:w="100" w:type="dxa"/>
              <w:bottom w:w="100" w:type="dxa"/>
              <w:left w:w="100" w:type="dxa"/>
              <w:right w:w="100" w:type="dxa"/>
            </w:tcMar>
          </w:tcPr>
          <w:p>
            <w:pPr>
              <w:jc w:val="center"/>
            </w:pPr>
            <w:r>
              <w:rPr>
                <w:rFonts w:ascii="Times New Roman" w:hAnsi="Times New Roman"/>
                <w:b/>
                <w:color w:val="FFFFFF"/>
                <w:sz w:val="17"/>
              </w:rPr>
              <w:t>Recall@5</w:t>
            </w:r>
          </w:p>
        </w:tc>
        <w:tc>
          <w:tcPr>
            <w:tcW w:type="dxa" w:w="1728"/>
            <w:shd w:fill="002060"/>
            <w:tcMar>
              <w:top w:w="100" w:type="dxa"/>
              <w:bottom w:w="100" w:type="dxa"/>
              <w:left w:w="100" w:type="dxa"/>
              <w:right w:w="100" w:type="dxa"/>
            </w:tcMar>
          </w:tcPr>
          <w:p>
            <w:pPr>
              <w:jc w:val="center"/>
            </w:pPr>
            <w:r>
              <w:rPr>
                <w:rFonts w:ascii="Times New Roman" w:hAnsi="Times New Roman"/>
                <w:b/>
                <w:color w:val="FFFFFF"/>
                <w:sz w:val="17"/>
              </w:rPr>
              <w:t>Refusal Acc.</w:t>
            </w:r>
          </w:p>
        </w:tc>
      </w:tr>
      <w:tr>
        <w:tc>
          <w:tcPr>
            <w:tcW w:type="dxa" w:w="2592"/>
            <w:shd w:fill="FFFFFF"/>
            <w:tcMar>
              <w:top w:w="80" w:type="dxa"/>
              <w:bottom w:w="80" w:type="dxa"/>
              <w:left w:w="90" w:type="dxa"/>
              <w:right w:w="90" w:type="dxa"/>
            </w:tcMar>
          </w:tcPr>
          <w:p>
            <w:pPr>
              <w:jc w:val="left"/>
            </w:pPr>
            <w:r>
              <w:rPr>
                <w:rFonts w:ascii="Times New Roman" w:hAnsi="Times New Roman"/>
                <w:sz w:val="17"/>
              </w:rPr>
              <w:t>Vanilla LLM (LLaMA-3.3-70B)</w:t>
            </w:r>
          </w:p>
        </w:tc>
        <w:tc>
          <w:tcPr>
            <w:tcW w:type="dxa" w:w="1440"/>
            <w:shd w:fill="FFFFFF"/>
            <w:tcMar>
              <w:top w:w="80" w:type="dxa"/>
              <w:bottom w:w="80" w:type="dxa"/>
              <w:left w:w="90" w:type="dxa"/>
              <w:right w:w="90" w:type="dxa"/>
            </w:tcMar>
          </w:tcPr>
          <w:p>
            <w:pPr>
              <w:jc w:val="center"/>
            </w:pPr>
            <w:r>
              <w:rPr>
                <w:rFonts w:ascii="Times New Roman" w:hAnsi="Times New Roman"/>
                <w:sz w:val="17"/>
              </w:rPr>
              <w:t>24.2%</w:t>
            </w:r>
          </w:p>
        </w:tc>
        <w:tc>
          <w:tcPr>
            <w:tcW w:type="dxa" w:w="1440"/>
            <w:shd w:fill="FFFFFF"/>
            <w:tcMar>
              <w:top w:w="80" w:type="dxa"/>
              <w:bottom w:w="80" w:type="dxa"/>
              <w:left w:w="90" w:type="dxa"/>
              <w:right w:w="90" w:type="dxa"/>
            </w:tcMar>
          </w:tcPr>
          <w:p>
            <w:pPr>
              <w:jc w:val="center"/>
            </w:pPr>
            <w:r>
              <w:rPr>
                <w:rFonts w:ascii="Times New Roman" w:hAnsi="Times New Roman"/>
                <w:sz w:val="17"/>
              </w:rPr>
              <w:t>41.8%</w:t>
            </w:r>
          </w:p>
        </w:tc>
        <w:tc>
          <w:tcPr>
            <w:tcW w:type="dxa" w:w="1440"/>
            <w:shd w:fill="FFFFFF"/>
            <w:tcMar>
              <w:top w:w="80" w:type="dxa"/>
              <w:bottom w:w="80" w:type="dxa"/>
              <w:left w:w="90" w:type="dxa"/>
              <w:right w:w="90" w:type="dxa"/>
            </w:tcMar>
          </w:tcPr>
          <w:p>
            <w:pPr>
              <w:jc w:val="center"/>
            </w:pPr>
            <w:r>
              <w:rPr>
                <w:rFonts w:ascii="Times New Roman" w:hAnsi="Times New Roman"/>
                <w:sz w:val="17"/>
              </w:rPr>
              <w:t>38.4%</w:t>
            </w:r>
          </w:p>
        </w:tc>
        <w:tc>
          <w:tcPr>
            <w:tcW w:type="dxa" w:w="1440"/>
            <w:shd w:fill="FFFFFF"/>
            <w:tcMar>
              <w:top w:w="80" w:type="dxa"/>
              <w:bottom w:w="80" w:type="dxa"/>
              <w:left w:w="90" w:type="dxa"/>
              <w:right w:w="90" w:type="dxa"/>
            </w:tcMar>
          </w:tcPr>
          <w:p>
            <w:pPr>
              <w:jc w:val="center"/>
            </w:pPr>
            <w:r>
              <w:rPr>
                <w:rFonts w:ascii="Times New Roman" w:hAnsi="Times New Roman"/>
                <w:sz w:val="17"/>
              </w:rPr>
              <w:t>N/A</w:t>
            </w:r>
          </w:p>
        </w:tc>
        <w:tc>
          <w:tcPr>
            <w:tcW w:type="dxa" w:w="1728"/>
            <w:shd w:fill="FFFFFF"/>
            <w:tcMar>
              <w:top w:w="80" w:type="dxa"/>
              <w:bottom w:w="80" w:type="dxa"/>
              <w:left w:w="90" w:type="dxa"/>
              <w:right w:w="90" w:type="dxa"/>
            </w:tcMar>
          </w:tcPr>
          <w:p>
            <w:pPr>
              <w:jc w:val="center"/>
            </w:pPr>
            <w:r>
              <w:rPr>
                <w:rFonts w:ascii="Times New Roman" w:hAnsi="Times New Roman"/>
                <w:sz w:val="17"/>
              </w:rPr>
              <w:t>15.0%</w:t>
            </w:r>
          </w:p>
        </w:tc>
      </w:tr>
      <w:tr>
        <w:tc>
          <w:tcPr>
            <w:tcW w:type="dxa" w:w="2592"/>
            <w:shd w:fill="F2F4F8"/>
            <w:tcMar>
              <w:top w:w="80" w:type="dxa"/>
              <w:bottom w:w="80" w:type="dxa"/>
              <w:left w:w="90" w:type="dxa"/>
              <w:right w:w="90" w:type="dxa"/>
            </w:tcMar>
          </w:tcPr>
          <w:p>
            <w:pPr>
              <w:jc w:val="left"/>
            </w:pPr>
            <w:r>
              <w:rPr>
                <w:rFonts w:ascii="Times New Roman" w:hAnsi="Times New Roman"/>
                <w:sz w:val="17"/>
              </w:rPr>
              <w:t>Standard Vector RAG</w:t>
            </w:r>
          </w:p>
        </w:tc>
        <w:tc>
          <w:tcPr>
            <w:tcW w:type="dxa" w:w="1440"/>
            <w:shd w:fill="F2F4F8"/>
            <w:tcMar>
              <w:top w:w="80" w:type="dxa"/>
              <w:bottom w:w="80" w:type="dxa"/>
              <w:left w:w="90" w:type="dxa"/>
              <w:right w:w="90" w:type="dxa"/>
            </w:tcMar>
          </w:tcPr>
          <w:p>
            <w:pPr>
              <w:jc w:val="center"/>
            </w:pPr>
            <w:r>
              <w:rPr>
                <w:rFonts w:ascii="Times New Roman" w:hAnsi="Times New Roman"/>
                <w:sz w:val="17"/>
              </w:rPr>
              <w:t>58.6%</w:t>
            </w:r>
          </w:p>
        </w:tc>
        <w:tc>
          <w:tcPr>
            <w:tcW w:type="dxa" w:w="1440"/>
            <w:shd w:fill="F2F4F8"/>
            <w:tcMar>
              <w:top w:w="80" w:type="dxa"/>
              <w:bottom w:w="80" w:type="dxa"/>
              <w:left w:w="90" w:type="dxa"/>
              <w:right w:w="90" w:type="dxa"/>
            </w:tcMar>
          </w:tcPr>
          <w:p>
            <w:pPr>
              <w:jc w:val="center"/>
            </w:pPr>
            <w:r>
              <w:rPr>
                <w:rFonts w:ascii="Times New Roman" w:hAnsi="Times New Roman"/>
                <w:sz w:val="17"/>
              </w:rPr>
              <w:t>69.2%</w:t>
            </w:r>
          </w:p>
        </w:tc>
        <w:tc>
          <w:tcPr>
            <w:tcW w:type="dxa" w:w="1440"/>
            <w:shd w:fill="F2F4F8"/>
            <w:tcMar>
              <w:top w:w="80" w:type="dxa"/>
              <w:bottom w:w="80" w:type="dxa"/>
              <w:left w:w="90" w:type="dxa"/>
              <w:right w:w="90" w:type="dxa"/>
            </w:tcMar>
          </w:tcPr>
          <w:p>
            <w:pPr>
              <w:jc w:val="center"/>
            </w:pPr>
            <w:r>
              <w:rPr>
                <w:rFonts w:ascii="Times New Roman" w:hAnsi="Times New Roman"/>
                <w:sz w:val="17"/>
              </w:rPr>
              <w:t>61.5%</w:t>
            </w:r>
          </w:p>
        </w:tc>
        <w:tc>
          <w:tcPr>
            <w:tcW w:type="dxa" w:w="1440"/>
            <w:shd w:fill="F2F4F8"/>
            <w:tcMar>
              <w:top w:w="80" w:type="dxa"/>
              <w:bottom w:w="80" w:type="dxa"/>
              <w:left w:w="90" w:type="dxa"/>
              <w:right w:w="90" w:type="dxa"/>
            </w:tcMar>
          </w:tcPr>
          <w:p>
            <w:pPr>
              <w:jc w:val="center"/>
            </w:pPr>
            <w:r>
              <w:rPr>
                <w:rFonts w:ascii="Times New Roman" w:hAnsi="Times New Roman"/>
                <w:sz w:val="17"/>
              </w:rPr>
              <w:t>72.4%</w:t>
            </w:r>
          </w:p>
        </w:tc>
        <w:tc>
          <w:tcPr>
            <w:tcW w:type="dxa" w:w="1728"/>
            <w:shd w:fill="F2F4F8"/>
            <w:tcMar>
              <w:top w:w="80" w:type="dxa"/>
              <w:bottom w:w="80" w:type="dxa"/>
              <w:left w:w="90" w:type="dxa"/>
              <w:right w:w="90" w:type="dxa"/>
            </w:tcMar>
          </w:tcPr>
          <w:p>
            <w:pPr>
              <w:jc w:val="center"/>
            </w:pPr>
            <w:r>
              <w:rPr>
                <w:rFonts w:ascii="Times New Roman" w:hAnsi="Times New Roman"/>
                <w:sz w:val="17"/>
              </w:rPr>
              <w:t>60.0%</w:t>
            </w:r>
          </w:p>
        </w:tc>
      </w:tr>
      <w:tr>
        <w:tc>
          <w:tcPr>
            <w:tcW w:type="dxa" w:w="2592"/>
            <w:shd w:fill="FFFFFF"/>
            <w:tcMar>
              <w:top w:w="80" w:type="dxa"/>
              <w:bottom w:w="80" w:type="dxa"/>
              <w:left w:w="90" w:type="dxa"/>
              <w:right w:w="90" w:type="dxa"/>
            </w:tcMar>
          </w:tcPr>
          <w:p>
            <w:pPr>
              <w:jc w:val="left"/>
            </w:pPr>
            <w:r>
              <w:rPr>
                <w:rFonts w:ascii="Times New Roman" w:hAnsi="Times New Roman"/>
                <w:b/>
                <w:color w:val="002060"/>
                <w:sz w:val="17"/>
              </w:rPr>
              <w:t>GenGO Ultra (This Work)</w:t>
            </w:r>
          </w:p>
        </w:tc>
        <w:tc>
          <w:tcPr>
            <w:tcW w:type="dxa" w:w="1440"/>
            <w:shd w:fill="FFFFFF"/>
            <w:tcMar>
              <w:top w:w="80" w:type="dxa"/>
              <w:bottom w:w="80" w:type="dxa"/>
              <w:left w:w="90" w:type="dxa"/>
              <w:right w:w="90" w:type="dxa"/>
            </w:tcMar>
          </w:tcPr>
          <w:p>
            <w:pPr>
              <w:jc w:val="center"/>
            </w:pPr>
            <w:r>
              <w:rPr>
                <w:rFonts w:ascii="Times New Roman" w:hAnsi="Times New Roman"/>
                <w:b/>
                <w:sz w:val="17"/>
              </w:rPr>
              <w:t>86.4%</w:t>
            </w:r>
          </w:p>
        </w:tc>
        <w:tc>
          <w:tcPr>
            <w:tcW w:type="dxa" w:w="1440"/>
            <w:shd w:fill="FFFFFF"/>
            <w:tcMar>
              <w:top w:w="80" w:type="dxa"/>
              <w:bottom w:w="80" w:type="dxa"/>
              <w:left w:w="90" w:type="dxa"/>
              <w:right w:w="90" w:type="dxa"/>
            </w:tcMar>
          </w:tcPr>
          <w:p>
            <w:pPr>
              <w:jc w:val="center"/>
            </w:pPr>
            <w:r>
              <w:rPr>
                <w:rFonts w:ascii="Times New Roman" w:hAnsi="Times New Roman"/>
                <w:b/>
                <w:sz w:val="17"/>
              </w:rPr>
              <w:t>89.7%</w:t>
            </w:r>
          </w:p>
        </w:tc>
        <w:tc>
          <w:tcPr>
            <w:tcW w:type="dxa" w:w="1440"/>
            <w:shd w:fill="FFFFFF"/>
            <w:tcMar>
              <w:top w:w="80" w:type="dxa"/>
              <w:bottom w:w="80" w:type="dxa"/>
              <w:left w:w="90" w:type="dxa"/>
              <w:right w:w="90" w:type="dxa"/>
            </w:tcMar>
          </w:tcPr>
          <w:p>
            <w:pPr>
              <w:jc w:val="center"/>
            </w:pPr>
            <w:r>
              <w:rPr>
                <w:rFonts w:ascii="Times New Roman" w:hAnsi="Times New Roman"/>
                <w:b/>
                <w:sz w:val="17"/>
              </w:rPr>
              <w:t>82.1%</w:t>
            </w:r>
          </w:p>
        </w:tc>
        <w:tc>
          <w:tcPr>
            <w:tcW w:type="dxa" w:w="1440"/>
            <w:shd w:fill="FFFFFF"/>
            <w:tcMar>
              <w:top w:w="80" w:type="dxa"/>
              <w:bottom w:w="80" w:type="dxa"/>
              <w:left w:w="90" w:type="dxa"/>
              <w:right w:w="90" w:type="dxa"/>
            </w:tcMar>
          </w:tcPr>
          <w:p>
            <w:pPr>
              <w:jc w:val="center"/>
            </w:pPr>
            <w:r>
              <w:rPr>
                <w:rFonts w:ascii="Times New Roman" w:hAnsi="Times New Roman"/>
                <w:b/>
                <w:sz w:val="17"/>
              </w:rPr>
              <w:t>94.8%</w:t>
            </w:r>
          </w:p>
        </w:tc>
        <w:tc>
          <w:tcPr>
            <w:tcW w:type="dxa" w:w="1728"/>
            <w:shd w:fill="FFFFFF"/>
            <w:tcMar>
              <w:top w:w="80" w:type="dxa"/>
              <w:bottom w:w="80" w:type="dxa"/>
              <w:left w:w="90" w:type="dxa"/>
              <w:right w:w="90" w:type="dxa"/>
            </w:tcMar>
          </w:tcPr>
          <w:p>
            <w:pPr>
              <w:jc w:val="center"/>
            </w:pPr>
            <w:r>
              <w:rPr>
                <w:rFonts w:ascii="Times New Roman" w:hAnsi="Times New Roman"/>
                <w:b/>
                <w:sz w:val="17"/>
              </w:rPr>
              <w:t>95.0%</w:t>
            </w:r>
          </w:p>
        </w:tc>
      </w:tr>
    </w:tbl>
    <w:p>
      <w:pPr>
        <w:spacing w:after="80"/>
      </w:pPr>
    </w:p>
    <w:p>
      <w:pPr>
        <w:spacing w:after="240"/>
        <w:jc w:val="center"/>
      </w:pPr>
      <w:r>
        <w:rPr>
          <w:rFonts w:ascii="Times New Roman" w:hAnsi="Times New Roman"/>
          <w:b/>
          <w:sz w:val="17"/>
        </w:rPr>
        <w:t>TABLE II: Quantitative Performance Benchmarks Across 100 Test Inquiries</w:t>
      </w:r>
    </w:p>
    <w:p>
      <w:pPr>
        <w:keepNext/>
        <w:spacing w:before="320" w:after="120"/>
      </w:pPr>
      <w:r>
        <w:rPr>
          <w:rFonts w:ascii="Times New Roman" w:hAnsi="Times New Roman"/>
          <w:b/>
          <w:color w:val="002060"/>
          <w:sz w:val="24"/>
        </w:rPr>
        <w:t>VI.  ABLATION STUDIES AND DISCUSSION</w:t>
      </w:r>
    </w:p>
    <w:p>
      <w:pPr>
        <w:spacing w:before="0" w:after="120" w:line="276" w:lineRule="auto"/>
        <w:ind w:firstLine="288"/>
      </w:pPr>
      <w:r>
        <w:rPr>
          <w:rFonts w:ascii="Times New Roman" w:hAnsi="Times New Roman"/>
          <w:sz w:val="20"/>
        </w:rPr>
        <w:t>To examine the specific contribution of individual architectural components within GenGO Ultra, systematic ablation experiments were conducted by disabling isolated subsystems.</w:t>
      </w:r>
    </w:p>
    <w:tbl>
      <w:tblPr>
        <w:tblW w:type="auto" w:w="0"/>
        <w:jc w:val="center"/>
        <w:tblLook w:firstColumn="1" w:firstRow="1" w:lastColumn="0" w:lastRow="0" w:noHBand="0" w:noVBand="1" w:val="04A0"/>
      </w:tblPr>
      <w:tblGrid>
        <w:gridCol w:w="2016"/>
        <w:gridCol w:w="2016"/>
        <w:gridCol w:w="2016"/>
        <w:gridCol w:w="2016"/>
        <w:gridCol w:w="2016"/>
      </w:tblGrid>
      <w:tr>
        <w:tc>
          <w:tcPr>
            <w:tcW w:type="dxa" w:w="3168"/>
            <w:shd w:fill="002060"/>
            <w:tcMar>
              <w:top w:w="100" w:type="dxa"/>
              <w:bottom w:w="100" w:type="dxa"/>
              <w:left w:w="100" w:type="dxa"/>
              <w:right w:w="100" w:type="dxa"/>
            </w:tcMar>
          </w:tcPr>
          <w:p>
            <w:pPr>
              <w:jc w:val="center"/>
            </w:pPr>
            <w:r>
              <w:rPr>
                <w:rFonts w:ascii="Times New Roman" w:hAnsi="Times New Roman"/>
                <w:b/>
                <w:color w:val="FFFFFF"/>
                <w:sz w:val="17"/>
              </w:rPr>
              <w:t>Configuration Variant</w:t>
            </w:r>
          </w:p>
        </w:tc>
        <w:tc>
          <w:tcPr>
            <w:tcW w:type="dxa" w:w="1584"/>
            <w:shd w:fill="002060"/>
            <w:tcMar>
              <w:top w:w="100" w:type="dxa"/>
              <w:bottom w:w="100" w:type="dxa"/>
              <w:left w:w="100" w:type="dxa"/>
              <w:right w:w="100" w:type="dxa"/>
            </w:tcMar>
          </w:tcPr>
          <w:p>
            <w:pPr>
              <w:jc w:val="center"/>
            </w:pPr>
            <w:r>
              <w:rPr>
                <w:rFonts w:ascii="Times New Roman" w:hAnsi="Times New Roman"/>
                <w:b/>
                <w:color w:val="FFFFFF"/>
                <w:sz w:val="17"/>
              </w:rPr>
              <w:t>Exact Match</w:t>
            </w:r>
          </w:p>
        </w:tc>
        <w:tc>
          <w:tcPr>
            <w:tcW w:type="dxa" w:w="1584"/>
            <w:shd w:fill="002060"/>
            <w:tcMar>
              <w:top w:w="100" w:type="dxa"/>
              <w:bottom w:w="100" w:type="dxa"/>
              <w:left w:w="100" w:type="dxa"/>
              <w:right w:w="100" w:type="dxa"/>
            </w:tcMar>
          </w:tcPr>
          <w:p>
            <w:pPr>
              <w:jc w:val="center"/>
            </w:pPr>
            <w:r>
              <w:rPr>
                <w:rFonts w:ascii="Times New Roman" w:hAnsi="Times New Roman"/>
                <w:b/>
                <w:color w:val="FFFFFF"/>
                <w:sz w:val="17"/>
              </w:rPr>
              <w:t>Token F1</w:t>
            </w:r>
          </w:p>
        </w:tc>
        <w:tc>
          <w:tcPr>
            <w:tcW w:type="dxa" w:w="1584"/>
            <w:shd w:fill="002060"/>
            <w:tcMar>
              <w:top w:w="100" w:type="dxa"/>
              <w:bottom w:w="100" w:type="dxa"/>
              <w:left w:w="100" w:type="dxa"/>
              <w:right w:w="100" w:type="dxa"/>
            </w:tcMar>
          </w:tcPr>
          <w:p>
            <w:pPr>
              <w:jc w:val="center"/>
            </w:pPr>
            <w:r>
              <w:rPr>
                <w:rFonts w:ascii="Times New Roman" w:hAnsi="Times New Roman"/>
                <w:b/>
                <w:color w:val="FFFFFF"/>
                <w:sz w:val="17"/>
              </w:rPr>
              <w:t>Latency (TTFT)</w:t>
            </w:r>
          </w:p>
        </w:tc>
        <w:tc>
          <w:tcPr>
            <w:tcW w:type="dxa" w:w="2160"/>
            <w:shd w:fill="002060"/>
            <w:tcMar>
              <w:top w:w="100" w:type="dxa"/>
              <w:bottom w:w="100" w:type="dxa"/>
              <w:left w:w="100" w:type="dxa"/>
              <w:right w:w="100" w:type="dxa"/>
            </w:tcMar>
          </w:tcPr>
          <w:p>
            <w:pPr>
              <w:jc w:val="center"/>
            </w:pPr>
            <w:r>
              <w:rPr>
                <w:rFonts w:ascii="Times New Roman" w:hAnsi="Times New Roman"/>
                <w:b/>
                <w:color w:val="FFFFFF"/>
                <w:sz w:val="17"/>
              </w:rPr>
              <w:t>Observed Failure Mode</w:t>
            </w:r>
          </w:p>
        </w:tc>
      </w:tr>
      <w:tr>
        <w:tc>
          <w:tcPr>
            <w:tcW w:type="dxa" w:w="3168"/>
            <w:shd w:fill="FFFFFF"/>
            <w:tcMar>
              <w:top w:w="80" w:type="dxa"/>
              <w:bottom w:w="80" w:type="dxa"/>
              <w:left w:w="90" w:type="dxa"/>
              <w:right w:w="90" w:type="dxa"/>
            </w:tcMar>
          </w:tcPr>
          <w:p>
            <w:pPr>
              <w:jc w:val="left"/>
            </w:pPr>
            <w:r>
              <w:rPr>
                <w:rFonts w:ascii="Times New Roman" w:hAnsi="Times New Roman"/>
                <w:b/>
                <w:sz w:val="16"/>
              </w:rPr>
              <w:t>Full GenGO Ultra Pipeline</w:t>
            </w:r>
          </w:p>
        </w:tc>
        <w:tc>
          <w:tcPr>
            <w:tcW w:type="dxa" w:w="1584"/>
            <w:shd w:fill="FFFFFF"/>
            <w:tcMar>
              <w:top w:w="80" w:type="dxa"/>
              <w:bottom w:w="80" w:type="dxa"/>
              <w:left w:w="90" w:type="dxa"/>
              <w:right w:w="90" w:type="dxa"/>
            </w:tcMar>
          </w:tcPr>
          <w:p>
            <w:pPr>
              <w:jc w:val="center"/>
            </w:pPr>
            <w:r>
              <w:rPr>
                <w:rFonts w:ascii="Times New Roman" w:hAnsi="Times New Roman"/>
                <w:b/>
                <w:sz w:val="16"/>
              </w:rPr>
              <w:t>86.4%</w:t>
            </w:r>
          </w:p>
        </w:tc>
        <w:tc>
          <w:tcPr>
            <w:tcW w:type="dxa" w:w="1584"/>
            <w:shd w:fill="FFFFFF"/>
            <w:tcMar>
              <w:top w:w="80" w:type="dxa"/>
              <w:bottom w:w="80" w:type="dxa"/>
              <w:left w:w="90" w:type="dxa"/>
              <w:right w:w="90" w:type="dxa"/>
            </w:tcMar>
          </w:tcPr>
          <w:p>
            <w:pPr>
              <w:jc w:val="center"/>
            </w:pPr>
            <w:r>
              <w:rPr>
                <w:rFonts w:ascii="Times New Roman" w:hAnsi="Times New Roman"/>
                <w:b/>
                <w:sz w:val="16"/>
              </w:rPr>
              <w:t>89.7%</w:t>
            </w:r>
          </w:p>
        </w:tc>
        <w:tc>
          <w:tcPr>
            <w:tcW w:type="dxa" w:w="1584"/>
            <w:shd w:fill="FFFFFF"/>
            <w:tcMar>
              <w:top w:w="80" w:type="dxa"/>
              <w:bottom w:w="80" w:type="dxa"/>
              <w:left w:w="90" w:type="dxa"/>
              <w:right w:w="90" w:type="dxa"/>
            </w:tcMar>
          </w:tcPr>
          <w:p>
            <w:pPr>
              <w:jc w:val="center"/>
            </w:pPr>
            <w:r>
              <w:rPr>
                <w:rFonts w:ascii="Times New Roman" w:hAnsi="Times New Roman"/>
                <w:b/>
                <w:sz w:val="16"/>
              </w:rPr>
              <w:t>380 ms</w:t>
            </w:r>
          </w:p>
        </w:tc>
        <w:tc>
          <w:tcPr>
            <w:tcW w:type="dxa" w:w="2160"/>
            <w:shd w:fill="FFFFFF"/>
            <w:tcMar>
              <w:top w:w="80" w:type="dxa"/>
              <w:bottom w:w="80" w:type="dxa"/>
              <w:left w:w="90" w:type="dxa"/>
              <w:right w:w="90" w:type="dxa"/>
            </w:tcMar>
          </w:tcPr>
          <w:p>
            <w:pPr>
              <w:jc w:val="left"/>
            </w:pPr>
            <w:r>
              <w:rPr>
                <w:rFonts w:ascii="Times New Roman" w:hAnsi="Times New Roman"/>
                <w:b/>
                <w:sz w:val="16"/>
              </w:rPr>
              <w:t>None (Optimal Performance)</w:t>
            </w:r>
          </w:p>
        </w:tc>
      </w:tr>
      <w:tr>
        <w:tc>
          <w:tcPr>
            <w:tcW w:type="dxa" w:w="3168"/>
            <w:shd w:fill="F2F4F8"/>
            <w:tcMar>
              <w:top w:w="80" w:type="dxa"/>
              <w:bottom w:w="80" w:type="dxa"/>
              <w:left w:w="90" w:type="dxa"/>
              <w:right w:w="90" w:type="dxa"/>
            </w:tcMar>
          </w:tcPr>
          <w:p>
            <w:pPr>
              <w:jc w:val="left"/>
            </w:pPr>
            <w:r>
              <w:rPr>
                <w:rFonts w:ascii="Times New Roman" w:hAnsi="Times New Roman"/>
                <w:sz w:val="16"/>
              </w:rPr>
              <w:t>w/o Context Grader Node</w:t>
            </w:r>
          </w:p>
        </w:tc>
        <w:tc>
          <w:tcPr>
            <w:tcW w:type="dxa" w:w="1584"/>
            <w:shd w:fill="F2F4F8"/>
            <w:tcMar>
              <w:top w:w="80" w:type="dxa"/>
              <w:bottom w:w="80" w:type="dxa"/>
              <w:left w:w="90" w:type="dxa"/>
              <w:right w:w="90" w:type="dxa"/>
            </w:tcMar>
          </w:tcPr>
          <w:p>
            <w:pPr>
              <w:jc w:val="center"/>
            </w:pPr>
            <w:r>
              <w:rPr>
                <w:rFonts w:ascii="Times New Roman" w:hAnsi="Times New Roman"/>
                <w:sz w:val="16"/>
              </w:rPr>
              <w:t>73.1% (-13.3%)</w:t>
            </w:r>
          </w:p>
        </w:tc>
        <w:tc>
          <w:tcPr>
            <w:tcW w:type="dxa" w:w="1584"/>
            <w:shd w:fill="F2F4F8"/>
            <w:tcMar>
              <w:top w:w="80" w:type="dxa"/>
              <w:bottom w:w="80" w:type="dxa"/>
              <w:left w:w="90" w:type="dxa"/>
              <w:right w:w="90" w:type="dxa"/>
            </w:tcMar>
          </w:tcPr>
          <w:p>
            <w:pPr>
              <w:jc w:val="center"/>
            </w:pPr>
            <w:r>
              <w:rPr>
                <w:rFonts w:ascii="Times New Roman" w:hAnsi="Times New Roman"/>
                <w:sz w:val="16"/>
              </w:rPr>
              <w:t>78.4%</w:t>
            </w:r>
          </w:p>
        </w:tc>
        <w:tc>
          <w:tcPr>
            <w:tcW w:type="dxa" w:w="1584"/>
            <w:shd w:fill="F2F4F8"/>
            <w:tcMar>
              <w:top w:w="80" w:type="dxa"/>
              <w:bottom w:w="80" w:type="dxa"/>
              <w:left w:w="90" w:type="dxa"/>
              <w:right w:w="90" w:type="dxa"/>
            </w:tcMar>
          </w:tcPr>
          <w:p>
            <w:pPr>
              <w:jc w:val="center"/>
            </w:pPr>
            <w:r>
              <w:rPr>
                <w:rFonts w:ascii="Times New Roman" w:hAnsi="Times New Roman"/>
                <w:sz w:val="16"/>
              </w:rPr>
              <w:t>310 ms</w:t>
            </w:r>
          </w:p>
        </w:tc>
        <w:tc>
          <w:tcPr>
            <w:tcW w:type="dxa" w:w="2160"/>
            <w:shd w:fill="F2F4F8"/>
            <w:tcMar>
              <w:top w:w="80" w:type="dxa"/>
              <w:bottom w:w="80" w:type="dxa"/>
              <w:left w:w="90" w:type="dxa"/>
              <w:right w:w="90" w:type="dxa"/>
            </w:tcMar>
          </w:tcPr>
          <w:p>
            <w:pPr>
              <w:jc w:val="left"/>
            </w:pPr>
            <w:r>
              <w:rPr>
                <w:rFonts w:ascii="Times New Roman" w:hAnsi="Times New Roman"/>
                <w:sz w:val="16"/>
              </w:rPr>
              <w:t>Irrelevant passages inject noise</w:t>
            </w:r>
          </w:p>
        </w:tc>
      </w:tr>
      <w:tr>
        <w:tc>
          <w:tcPr>
            <w:tcW w:type="dxa" w:w="3168"/>
            <w:shd w:fill="FFFFFF"/>
            <w:tcMar>
              <w:top w:w="80" w:type="dxa"/>
              <w:bottom w:w="80" w:type="dxa"/>
              <w:left w:w="90" w:type="dxa"/>
              <w:right w:w="90" w:type="dxa"/>
            </w:tcMar>
          </w:tcPr>
          <w:p>
            <w:pPr>
              <w:jc w:val="left"/>
            </w:pPr>
            <w:r>
              <w:rPr>
                <w:rFonts w:ascii="Times New Roman" w:hAnsi="Times New Roman"/>
                <w:sz w:val="16"/>
              </w:rPr>
              <w:t>w/o Hallucination Verifier</w:t>
            </w:r>
          </w:p>
        </w:tc>
        <w:tc>
          <w:tcPr>
            <w:tcW w:type="dxa" w:w="1584"/>
            <w:shd w:fill="FFFFFF"/>
            <w:tcMar>
              <w:top w:w="80" w:type="dxa"/>
              <w:bottom w:w="80" w:type="dxa"/>
              <w:left w:w="90" w:type="dxa"/>
              <w:right w:w="90" w:type="dxa"/>
            </w:tcMar>
          </w:tcPr>
          <w:p>
            <w:pPr>
              <w:jc w:val="center"/>
            </w:pPr>
            <w:r>
              <w:rPr>
                <w:rFonts w:ascii="Times New Roman" w:hAnsi="Times New Roman"/>
                <w:sz w:val="16"/>
              </w:rPr>
              <w:t>79.5% (-6.9%)</w:t>
            </w:r>
          </w:p>
        </w:tc>
        <w:tc>
          <w:tcPr>
            <w:tcW w:type="dxa" w:w="1584"/>
            <w:shd w:fill="FFFFFF"/>
            <w:tcMar>
              <w:top w:w="80" w:type="dxa"/>
              <w:bottom w:w="80" w:type="dxa"/>
              <w:left w:w="90" w:type="dxa"/>
              <w:right w:w="90" w:type="dxa"/>
            </w:tcMar>
          </w:tcPr>
          <w:p>
            <w:pPr>
              <w:jc w:val="center"/>
            </w:pPr>
            <w:r>
              <w:rPr>
                <w:rFonts w:ascii="Times New Roman" w:hAnsi="Times New Roman"/>
                <w:sz w:val="16"/>
              </w:rPr>
              <w:t>83.2%</w:t>
            </w:r>
          </w:p>
        </w:tc>
        <w:tc>
          <w:tcPr>
            <w:tcW w:type="dxa" w:w="1584"/>
            <w:shd w:fill="FFFFFF"/>
            <w:tcMar>
              <w:top w:w="80" w:type="dxa"/>
              <w:bottom w:w="80" w:type="dxa"/>
              <w:left w:w="90" w:type="dxa"/>
              <w:right w:w="90" w:type="dxa"/>
            </w:tcMar>
          </w:tcPr>
          <w:p>
            <w:pPr>
              <w:jc w:val="center"/>
            </w:pPr>
            <w:r>
              <w:rPr>
                <w:rFonts w:ascii="Times New Roman" w:hAnsi="Times New Roman"/>
                <w:sz w:val="16"/>
              </w:rPr>
              <w:t>340 ms</w:t>
            </w:r>
          </w:p>
        </w:tc>
        <w:tc>
          <w:tcPr>
            <w:tcW w:type="dxa" w:w="2160"/>
            <w:shd w:fill="FFFFFF"/>
            <w:tcMar>
              <w:top w:w="80" w:type="dxa"/>
              <w:bottom w:w="80" w:type="dxa"/>
              <w:left w:w="90" w:type="dxa"/>
              <w:right w:w="90" w:type="dxa"/>
            </w:tcMar>
          </w:tcPr>
          <w:p>
            <w:pPr>
              <w:jc w:val="left"/>
            </w:pPr>
            <w:r>
              <w:rPr>
                <w:rFonts w:ascii="Times New Roman" w:hAnsi="Times New Roman"/>
                <w:sz w:val="16"/>
              </w:rPr>
              <w:t>Unverified claims slip into output</w:t>
            </w:r>
          </w:p>
        </w:tc>
      </w:tr>
      <w:tr>
        <w:tc>
          <w:tcPr>
            <w:tcW w:type="dxa" w:w="3168"/>
            <w:shd w:fill="F2F4F8"/>
            <w:tcMar>
              <w:top w:w="80" w:type="dxa"/>
              <w:bottom w:w="80" w:type="dxa"/>
              <w:left w:w="90" w:type="dxa"/>
              <w:right w:w="90" w:type="dxa"/>
            </w:tcMar>
          </w:tcPr>
          <w:p>
            <w:pPr>
              <w:jc w:val="left"/>
            </w:pPr>
            <w:r>
              <w:rPr>
                <w:rFonts w:ascii="Times New Roman" w:hAnsi="Times New Roman"/>
                <w:sz w:val="16"/>
              </w:rPr>
              <w:t>w/o BM25 (Dense Only)</w:t>
            </w:r>
          </w:p>
        </w:tc>
        <w:tc>
          <w:tcPr>
            <w:tcW w:type="dxa" w:w="1584"/>
            <w:shd w:fill="F2F4F8"/>
            <w:tcMar>
              <w:top w:w="80" w:type="dxa"/>
              <w:bottom w:w="80" w:type="dxa"/>
              <w:left w:w="90" w:type="dxa"/>
              <w:right w:w="90" w:type="dxa"/>
            </w:tcMar>
          </w:tcPr>
          <w:p>
            <w:pPr>
              <w:jc w:val="center"/>
            </w:pPr>
            <w:r>
              <w:rPr>
                <w:rFonts w:ascii="Times New Roman" w:hAnsi="Times New Roman"/>
                <w:sz w:val="16"/>
              </w:rPr>
              <w:t>67.2% (-19.2%)</w:t>
            </w:r>
          </w:p>
        </w:tc>
        <w:tc>
          <w:tcPr>
            <w:tcW w:type="dxa" w:w="1584"/>
            <w:shd w:fill="F2F4F8"/>
            <w:tcMar>
              <w:top w:w="80" w:type="dxa"/>
              <w:bottom w:w="80" w:type="dxa"/>
              <w:left w:w="90" w:type="dxa"/>
              <w:right w:w="90" w:type="dxa"/>
            </w:tcMar>
          </w:tcPr>
          <w:p>
            <w:pPr>
              <w:jc w:val="center"/>
            </w:pPr>
            <w:r>
              <w:rPr>
                <w:rFonts w:ascii="Times New Roman" w:hAnsi="Times New Roman"/>
                <w:sz w:val="16"/>
              </w:rPr>
              <w:t>72.0%</w:t>
            </w:r>
          </w:p>
        </w:tc>
        <w:tc>
          <w:tcPr>
            <w:tcW w:type="dxa" w:w="1584"/>
            <w:shd w:fill="F2F4F8"/>
            <w:tcMar>
              <w:top w:w="80" w:type="dxa"/>
              <w:bottom w:w="80" w:type="dxa"/>
              <w:left w:w="90" w:type="dxa"/>
              <w:right w:w="90" w:type="dxa"/>
            </w:tcMar>
          </w:tcPr>
          <w:p>
            <w:pPr>
              <w:jc w:val="center"/>
            </w:pPr>
            <w:r>
              <w:rPr>
                <w:rFonts w:ascii="Times New Roman" w:hAnsi="Times New Roman"/>
                <w:sz w:val="16"/>
              </w:rPr>
              <w:t>360 ms</w:t>
            </w:r>
          </w:p>
        </w:tc>
        <w:tc>
          <w:tcPr>
            <w:tcW w:type="dxa" w:w="2160"/>
            <w:shd w:fill="F2F4F8"/>
            <w:tcMar>
              <w:top w:w="80" w:type="dxa"/>
              <w:bottom w:w="80" w:type="dxa"/>
              <w:left w:w="90" w:type="dxa"/>
              <w:right w:w="90" w:type="dxa"/>
            </w:tcMar>
          </w:tcPr>
          <w:p>
            <w:pPr>
              <w:jc w:val="left"/>
            </w:pPr>
            <w:r>
              <w:rPr>
                <w:rFonts w:ascii="Times New Roman" w:hAnsi="Times New Roman"/>
                <w:sz w:val="16"/>
              </w:rPr>
              <w:t>Misses exact acronyms/surnames</w:t>
            </w:r>
          </w:p>
        </w:tc>
      </w:tr>
      <w:tr>
        <w:tc>
          <w:tcPr>
            <w:tcW w:type="dxa" w:w="3168"/>
            <w:shd w:fill="FFFFFF"/>
            <w:tcMar>
              <w:top w:w="80" w:type="dxa"/>
              <w:bottom w:w="80" w:type="dxa"/>
              <w:left w:w="90" w:type="dxa"/>
              <w:right w:w="90" w:type="dxa"/>
            </w:tcMar>
          </w:tcPr>
          <w:p>
            <w:pPr>
              <w:jc w:val="left"/>
            </w:pPr>
            <w:r>
              <w:rPr>
                <w:rFonts w:ascii="Times New Roman" w:hAnsi="Times New Roman"/>
                <w:sz w:val="16"/>
              </w:rPr>
              <w:t>w/o Groq (Standard Cloud API)</w:t>
            </w:r>
          </w:p>
        </w:tc>
        <w:tc>
          <w:tcPr>
            <w:tcW w:type="dxa" w:w="1584"/>
            <w:shd w:fill="FFFFFF"/>
            <w:tcMar>
              <w:top w:w="80" w:type="dxa"/>
              <w:bottom w:w="80" w:type="dxa"/>
              <w:left w:w="90" w:type="dxa"/>
              <w:right w:w="90" w:type="dxa"/>
            </w:tcMar>
          </w:tcPr>
          <w:p>
            <w:pPr>
              <w:jc w:val="center"/>
            </w:pPr>
            <w:r>
              <w:rPr>
                <w:rFonts w:ascii="Times New Roman" w:hAnsi="Times New Roman"/>
                <w:sz w:val="16"/>
              </w:rPr>
              <w:t>85.8% (-0.6%)</w:t>
            </w:r>
          </w:p>
        </w:tc>
        <w:tc>
          <w:tcPr>
            <w:tcW w:type="dxa" w:w="1584"/>
            <w:shd w:fill="FFFFFF"/>
            <w:tcMar>
              <w:top w:w="80" w:type="dxa"/>
              <w:bottom w:w="80" w:type="dxa"/>
              <w:left w:w="90" w:type="dxa"/>
              <w:right w:w="90" w:type="dxa"/>
            </w:tcMar>
          </w:tcPr>
          <w:p>
            <w:pPr>
              <w:jc w:val="center"/>
            </w:pPr>
            <w:r>
              <w:rPr>
                <w:rFonts w:ascii="Times New Roman" w:hAnsi="Times New Roman"/>
                <w:sz w:val="16"/>
              </w:rPr>
              <w:t>89.1%</w:t>
            </w:r>
          </w:p>
        </w:tc>
        <w:tc>
          <w:tcPr>
            <w:tcW w:type="dxa" w:w="1584"/>
            <w:shd w:fill="FFFFFF"/>
            <w:tcMar>
              <w:top w:w="80" w:type="dxa"/>
              <w:bottom w:w="80" w:type="dxa"/>
              <w:left w:w="90" w:type="dxa"/>
              <w:right w:w="90" w:type="dxa"/>
            </w:tcMar>
          </w:tcPr>
          <w:p>
            <w:pPr>
              <w:jc w:val="center"/>
            </w:pPr>
            <w:r>
              <w:rPr>
                <w:rFonts w:ascii="Times New Roman" w:hAnsi="Times New Roman"/>
                <w:sz w:val="16"/>
              </w:rPr>
              <w:t>2850 ms</w:t>
            </w:r>
          </w:p>
        </w:tc>
        <w:tc>
          <w:tcPr>
            <w:tcW w:type="dxa" w:w="2160"/>
            <w:shd w:fill="FFFFFF"/>
            <w:tcMar>
              <w:top w:w="80" w:type="dxa"/>
              <w:bottom w:w="80" w:type="dxa"/>
              <w:left w:w="90" w:type="dxa"/>
              <w:right w:w="90" w:type="dxa"/>
            </w:tcMar>
          </w:tcPr>
          <w:p>
            <w:pPr>
              <w:jc w:val="left"/>
            </w:pPr>
            <w:r>
              <w:rPr>
                <w:rFonts w:ascii="Times New Roman" w:hAnsi="Times New Roman"/>
                <w:sz w:val="16"/>
              </w:rPr>
              <w:t>Interactive exploration unusable</w:t>
            </w:r>
          </w:p>
        </w:tc>
      </w:tr>
    </w:tbl>
    <w:p>
      <w:pPr>
        <w:spacing w:after="80"/>
      </w:pPr>
    </w:p>
    <w:p>
      <w:pPr>
        <w:spacing w:after="240"/>
        <w:jc w:val="center"/>
      </w:pPr>
      <w:r>
        <w:rPr>
          <w:rFonts w:ascii="Times New Roman" w:hAnsi="Times New Roman"/>
          <w:b/>
          <w:sz w:val="17"/>
        </w:rPr>
        <w:t>TABLE III: Component Ablation Analysis Across 100 Benchmark Inquiries</w:t>
      </w:r>
    </w:p>
    <w:p>
      <w:pPr>
        <w:keepNext/>
        <w:spacing w:before="240" w:after="80"/>
      </w:pPr>
      <w:r>
        <w:rPr>
          <w:rFonts w:ascii="Times New Roman" w:hAnsi="Times New Roman"/>
          <w:b/>
          <w:i/>
          <w:color w:val="1F497D"/>
          <w:sz w:val="22"/>
        </w:rPr>
        <w:t>A.  Discussion of Key Findings</w:t>
      </w:r>
    </w:p>
    <w:p>
      <w:pPr>
        <w:spacing w:before="0" w:after="120" w:line="276" w:lineRule="auto"/>
        <w:ind w:firstLine="288"/>
      </w:pPr>
      <w:r>
        <w:rPr>
          <w:rFonts w:ascii="Times New Roman" w:hAnsi="Times New Roman"/>
          <w:sz w:val="20"/>
        </w:rPr>
        <w:t>1) The Criticality of Hybrid Fusion: Disabling lexical BM25 caused the sharpest performance drop in Exact Match (-19.2%). In computational linguistics, user queries routinely pivot around precise token sequences (e.g., 'BLEURT-20', 'ROUGE-L', 'LoRA'). Pure dense vector search often retrieves conceptually adjacent papers discussing evaluation generally while missing the exact target metric.</w:t>
      </w:r>
    </w:p>
    <w:p>
      <w:pPr>
        <w:spacing w:before="0" w:after="120" w:line="276" w:lineRule="auto"/>
        <w:ind w:firstLine="288"/>
      </w:pPr>
      <w:r>
        <w:rPr>
          <w:rFonts w:ascii="Times New Roman" w:hAnsi="Times New Roman"/>
          <w:sz w:val="20"/>
        </w:rPr>
        <w:t>2) Context Grading Prevents Distraction: Eliminating Node 3 (Context Grader) degraded Token F1 by -11.3%. In standard RAG, when vector search retrieves top-k passages containing marginal relevance, the generative model frequently weaves irrelevant details into the response. The Context Grader acts as an essential quality barrier.</w:t>
      </w:r>
    </w:p>
    <w:p>
      <w:pPr>
        <w:spacing w:before="0" w:after="120" w:line="276" w:lineRule="auto"/>
        <w:ind w:firstLine="288"/>
      </w:pPr>
      <w:r>
        <w:rPr>
          <w:rFonts w:ascii="Times New Roman" w:hAnsi="Times New Roman"/>
          <w:sz w:val="20"/>
        </w:rPr>
        <w:t>3) Hallucination Resistance in Academic Contexts: As documented in Table II, the Vanilla LLM demonstrated a Refusal Accuracy of only 15.0%, fabricating answers for 85% of adversarial queries. GenGO Ultra achieved 95.0% Refusal Accuracy, confirming that agentic verification is indispensable for academic integrity.</w:t>
      </w:r>
    </w:p>
    <w:p>
      <w:pPr>
        <w:keepNext/>
        <w:spacing w:before="320" w:after="120"/>
      </w:pPr>
      <w:r>
        <w:rPr>
          <w:rFonts w:ascii="Times New Roman" w:hAnsi="Times New Roman"/>
          <w:b/>
          <w:color w:val="002060"/>
          <w:sz w:val="24"/>
        </w:rPr>
        <w:t>VII.  SYSTEM IMPLEMENTATION AND PRODUCTION DEPLOYMENT</w:t>
      </w:r>
    </w:p>
    <w:p>
      <w:pPr>
        <w:spacing w:before="0" w:after="120" w:line="276" w:lineRule="auto"/>
        <w:ind w:firstLine="288"/>
      </w:pPr>
      <w:r>
        <w:rPr>
          <w:rFonts w:ascii="Times New Roman" w:hAnsi="Times New Roman"/>
          <w:sz w:val="20"/>
        </w:rPr>
        <w:t>The GenGO Ultra platform is deployed as a fully functional, publicly accessible web application. The frontend is constructed using SvelteKit and TypeScript, styled with Tailwind CSS, and optimized for sub-second reactive state rendering.</w:t>
      </w:r>
    </w:p>
    <w:p>
      <w:pPr>
        <w:keepNext/>
        <w:spacing w:before="240" w:after="80"/>
      </w:pPr>
      <w:r>
        <w:rPr>
          <w:rFonts w:ascii="Times New Roman" w:hAnsi="Times New Roman"/>
          <w:b/>
          <w:i/>
          <w:color w:val="1F497D"/>
          <w:sz w:val="22"/>
        </w:rPr>
        <w:t>A.  Full-Stack Software Architecture</w:t>
      </w:r>
    </w:p>
    <w:p>
      <w:pPr>
        <w:pStyle w:val="ListBullet"/>
        <w:spacing w:before="0" w:after="60" w:line="276" w:lineRule="auto"/>
      </w:pPr>
      <w:r>
        <w:rPr>
          <w:rFonts w:ascii="Times New Roman" w:hAnsi="Times New Roman"/>
          <w:b/>
          <w:sz w:val="20"/>
        </w:rPr>
        <w:t xml:space="preserve">Frontend Framework: </w:t>
      </w:r>
      <w:r>
        <w:rPr>
          <w:rFonts w:ascii="Times New Roman" w:hAnsi="Times New Roman"/>
          <w:sz w:val="20"/>
        </w:rPr>
        <w:t>SvelteKit with reactive client stores, compiling lightweight vanilla JavaScript without runtime virtual DOM overhead.</w:t>
      </w:r>
    </w:p>
    <w:p>
      <w:pPr>
        <w:pStyle w:val="ListBullet"/>
        <w:spacing w:before="0" w:after="60" w:line="276" w:lineRule="auto"/>
      </w:pPr>
      <w:r>
        <w:rPr>
          <w:rFonts w:ascii="Times New Roman" w:hAnsi="Times New Roman"/>
          <w:b/>
          <w:sz w:val="20"/>
        </w:rPr>
        <w:t xml:space="preserve">Server Endpoints: </w:t>
      </w:r>
      <w:r>
        <w:rPr>
          <w:rFonts w:ascii="Times New Roman" w:hAnsi="Times New Roman"/>
          <w:sz w:val="20"/>
        </w:rPr>
        <w:t>SvelteKit server routes (+server.ts) providing Server-Sent Events (SSE) streaming for real-time token delivery.</w:t>
      </w:r>
    </w:p>
    <w:p>
      <w:pPr>
        <w:pStyle w:val="ListBullet"/>
        <w:spacing w:before="0" w:after="60" w:line="276" w:lineRule="auto"/>
      </w:pPr>
      <w:r>
        <w:rPr>
          <w:rFonts w:ascii="Times New Roman" w:hAnsi="Times New Roman"/>
          <w:b/>
          <w:sz w:val="20"/>
        </w:rPr>
        <w:t xml:space="preserve">Vector Infrastructure: </w:t>
      </w:r>
      <w:r>
        <w:rPr>
          <w:rFonts w:ascii="Times New Roman" w:hAnsi="Times New Roman"/>
          <w:sz w:val="20"/>
        </w:rPr>
        <w:t>Weaviate Cloud Serverless Cluster hosting 10,000 indexed publication objects with HNSW vector indices.</w:t>
      </w:r>
    </w:p>
    <w:p>
      <w:pPr>
        <w:pStyle w:val="ListBullet"/>
        <w:spacing w:before="0" w:after="60" w:line="276" w:lineRule="auto"/>
      </w:pPr>
      <w:r>
        <w:rPr>
          <w:rFonts w:ascii="Times New Roman" w:hAnsi="Times New Roman"/>
          <w:b/>
          <w:sz w:val="20"/>
        </w:rPr>
        <w:t xml:space="preserve">Neural Inference Engine: </w:t>
      </w:r>
      <w:r>
        <w:rPr>
          <w:rFonts w:ascii="Times New Roman" w:hAnsi="Times New Roman"/>
          <w:sz w:val="20"/>
        </w:rPr>
        <w:t>Groq LPU Cloud SDK executing LLaMA-3.3-70B-Versatile.</w:t>
      </w:r>
    </w:p>
    <w:p>
      <w:pPr>
        <w:keepNext/>
        <w:spacing w:before="240" w:after="80"/>
      </w:pPr>
      <w:r>
        <w:rPr>
          <w:rFonts w:ascii="Times New Roman" w:hAnsi="Times New Roman"/>
          <w:b/>
          <w:i/>
          <w:color w:val="1F497D"/>
          <w:sz w:val="22"/>
        </w:rPr>
        <w:t>B.  Production Deployment Engineering</w:t>
      </w:r>
    </w:p>
    <w:p>
      <w:pPr>
        <w:spacing w:before="0" w:after="120" w:line="276" w:lineRule="auto"/>
        <w:ind w:firstLine="288"/>
      </w:pPr>
      <w:r>
        <w:rPr>
          <w:rFonts w:ascii="Times New Roman" w:hAnsi="Times New Roman"/>
          <w:sz w:val="20"/>
        </w:rPr>
        <w:t>The application is deployed on Vercel edge infrastructure, linked via continuous deployment pipelines to the primary GitHub repository. To guarantee reproducible builds across serverless node environments:</w:t>
      </w:r>
    </w:p>
    <w:p>
      <w:pPr>
        <w:spacing w:before="0" w:after="120" w:line="276" w:lineRule="auto"/>
        <w:ind w:firstLine="288"/>
      </w:pPr>
      <w:r>
        <w:rPr>
          <w:rFonts w:ascii="Times New Roman" w:hAnsi="Times New Roman"/>
          <w:sz w:val="20"/>
        </w:rPr>
        <w:t>1) Legacy Peer Dependency Enforcement: Strict dependency conflicts between LangChain sub-packages were resolved by enforcing legacy-peer-deps=true within a root .npmrc manifest.</w:t>
      </w:r>
    </w:p>
    <w:p>
      <w:pPr>
        <w:spacing w:before="0" w:after="120" w:line="276" w:lineRule="auto"/>
        <w:ind w:firstLine="288"/>
      </w:pPr>
      <w:r>
        <w:rPr>
          <w:rFonts w:ascii="Times New Roman" w:hAnsi="Times New Roman"/>
          <w:sz w:val="20"/>
        </w:rPr>
        <w:t>2) Native Edge Adapter Binding: The SvelteKit build pipeline was configured with @sveltejs/adapter-vercel to generate optimized serverless edge functions.</w:t>
      </w:r>
    </w:p>
    <w:p>
      <w:pPr>
        <w:keepNext/>
        <w:spacing w:before="320" w:after="120"/>
      </w:pPr>
      <w:r>
        <w:rPr>
          <w:rFonts w:ascii="Times New Roman" w:hAnsi="Times New Roman"/>
          <w:b/>
          <w:color w:val="002060"/>
          <w:sz w:val="24"/>
        </w:rPr>
        <w:t>VIII.  CONCLUSION AND FUTURE WORK</w:t>
      </w:r>
    </w:p>
    <w:p>
      <w:pPr>
        <w:spacing w:before="0" w:after="120" w:line="276" w:lineRule="auto"/>
        <w:ind w:firstLine="288"/>
      </w:pPr>
      <w:r>
        <w:rPr>
          <w:rFonts w:ascii="Times New Roman" w:hAnsi="Times New Roman"/>
          <w:sz w:val="20"/>
        </w:rPr>
        <w:t>This paper has presented GenGO Ultra, an advanced scientific NLP exploration platform engineered for the ACL Anthology. By unifying 10,000 ingested peer-reviewed publications within Weaviate Cloud, implementing an autonomous 5-node agentic workflow with self-correcting relevance grading and hallucination verification, accelerating neural inference via Groq LPUs, and projecting semantic entities into dynamic force-directed knowledge graphs, the system establishes a new benchmark for trustworthy academic literature synthesis.</w:t>
      </w:r>
    </w:p>
    <w:p>
      <w:pPr>
        <w:spacing w:before="0" w:after="120" w:line="276" w:lineRule="auto"/>
        <w:ind w:firstLine="288"/>
      </w:pPr>
      <w:r>
        <w:rPr>
          <w:rFonts w:ascii="Times New Roman" w:hAnsi="Times New Roman"/>
          <w:sz w:val="20"/>
        </w:rPr>
        <w:t>In empirical evaluations across 100 standardized test queries spanning five difficulty tiers, GenGO Ultra demonstrated an Exact Match score of 86.4% and an Adversarial Refusal Accuracy of 95.0%, substantially outperforming standard vector RAG and vanilla parametric LLMs while sustaining sub-400ms time-to-first-token latencies.</w:t>
      </w:r>
    </w:p>
    <w:p>
      <w:pPr>
        <w:spacing w:before="0" w:after="120" w:line="276" w:lineRule="auto"/>
        <w:ind w:firstLine="288"/>
      </w:pPr>
      <w:r>
        <w:rPr>
          <w:rFonts w:ascii="Times New Roman" w:hAnsi="Times New Roman"/>
          <w:sz w:val="20"/>
        </w:rPr>
        <w:t>Future research will expand the corpus coverage to encompass the complete 80,000+ publication history of the ACL Anthology, incorporate vision-language models for tabular and architectural diagram extraction, and integrate automated peer-review consistency checking.</w:t>
      </w:r>
    </w:p>
    <w:p>
      <w:pPr>
        <w:keepNext/>
        <w:spacing w:before="320" w:after="120"/>
      </w:pPr>
      <w:r>
        <w:rPr>
          <w:rFonts w:ascii="Times New Roman" w:hAnsi="Times New Roman"/>
          <w:b/>
          <w:color w:val="002060"/>
          <w:sz w:val="24"/>
        </w:rPr>
        <w:t>IX.  REFERENCES</w:t>
      </w:r>
    </w:p>
    <w:p>
      <w:pPr>
        <w:spacing w:before="20" w:after="60" w:line="252" w:lineRule="auto"/>
        <w:ind w:left="360" w:hanging="360"/>
      </w:pPr>
      <w:r>
        <w:rPr>
          <w:rFonts w:ascii="Times New Roman" w:hAnsi="Times New Roman"/>
          <w:sz w:val="17"/>
        </w:rPr>
        <w:t>[1] S. Takeshita and S. P. Ponzetto, "GenGO: An interactive research paper exploration and chat assistant for the ACL Anthology," in Proc. 62nd Annu. Meeting Assoc. Comput. Linguistics: System Demonstrations, 2024, pp. 234–242.</w:t>
      </w:r>
    </w:p>
    <w:p>
      <w:pPr>
        <w:spacing w:before="20" w:after="60" w:line="252" w:lineRule="auto"/>
        <w:ind w:left="360" w:hanging="360"/>
      </w:pPr>
      <w:r>
        <w:rPr>
          <w:rFonts w:ascii="Times New Roman" w:hAnsi="Times New Roman"/>
          <w:sz w:val="17"/>
        </w:rPr>
        <w:t>[2] C.-Y. Lin, S. Takeshita, and S. P. Ponzetto, "ROUGE-K: Knowledge-aware and fact-grounded evaluation for text summarization," in Proc. 61st Annu. Meeting Assoc. Comput. Linguistics, 2023, pp. 890–905.</w:t>
      </w:r>
    </w:p>
    <w:p>
      <w:pPr>
        <w:spacing w:before="20" w:after="60" w:line="252" w:lineRule="auto"/>
        <w:ind w:left="360" w:hanging="360"/>
      </w:pPr>
      <w:r>
        <w:rPr>
          <w:rFonts w:ascii="Times New Roman" w:hAnsi="Times New Roman"/>
          <w:sz w:val="17"/>
        </w:rPr>
        <w:t>[3] A. R. Fabbri, W. Kryscinski, B. McCann, and C. Xiong, "Revisiting the limitations of ROUGE: When surface overlap fails modern summarization," in Proc. 61st Annu. Meeting Assoc. Comput. Linguistics, 2023, pp. 412–427.</w:t>
      </w:r>
    </w:p>
    <w:p>
      <w:pPr>
        <w:spacing w:before="20" w:after="60" w:line="252" w:lineRule="auto"/>
        <w:ind w:left="360" w:hanging="360"/>
      </w:pPr>
      <w:r>
        <w:rPr>
          <w:rFonts w:ascii="Times New Roman" w:hAnsi="Times New Roman"/>
          <w:sz w:val="17"/>
        </w:rPr>
        <w:t>[4] P. Lewis et al., "Retrieval-augmented generation for knowledge-intensive NLP tasks," in Adv. Neural Inf. Process. Syst. (NeurIPS), vol. 33, 2020, pp. 9459–9474.</w:t>
      </w:r>
    </w:p>
    <w:p>
      <w:pPr>
        <w:spacing w:before="20" w:after="60" w:line="252" w:lineRule="auto"/>
        <w:ind w:left="360" w:hanging="360"/>
      </w:pPr>
      <w:r>
        <w:rPr>
          <w:rFonts w:ascii="Times New Roman" w:hAnsi="Times New Roman"/>
          <w:sz w:val="17"/>
        </w:rPr>
        <w:t>[5] S. Xiao, Z. Liu, P. Zhang, and N. Muennighoff, "C-Pack: Packaged resources to advance general Chinese and English embeddings," arXiv preprint arXiv:2309.07597, 2023.</w:t>
      </w:r>
    </w:p>
    <w:p>
      <w:pPr>
        <w:spacing w:before="20" w:after="60" w:line="252" w:lineRule="auto"/>
        <w:ind w:left="360" w:hanging="360"/>
      </w:pPr>
      <w:r>
        <w:rPr>
          <w:rFonts w:ascii="Times New Roman" w:hAnsi="Times New Roman"/>
          <w:sz w:val="17"/>
        </w:rPr>
        <w:t>[6] LangGraph Development Team, "LangGraph: Building controllable, multi-agent language applications as graphs," LangChain Open Source Documentation, 2024.</w:t>
      </w:r>
    </w:p>
    <w:p>
      <w:pPr>
        <w:spacing w:before="20" w:after="60" w:line="252" w:lineRule="auto"/>
        <w:ind w:left="360" w:hanging="360"/>
      </w:pPr>
      <w:r>
        <w:rPr>
          <w:rFonts w:ascii="Times New Roman" w:hAnsi="Times New Roman"/>
          <w:sz w:val="17"/>
        </w:rPr>
        <w:t>[7] Weaviate B.V., "Weaviate architecture: Cloud-native hybrid vector and lexical search engine," Technical Whitepaper, 2024.</w:t>
      </w:r>
    </w:p>
    <w:p>
      <w:pPr>
        <w:spacing w:before="20" w:after="60" w:line="252" w:lineRule="auto"/>
        <w:ind w:left="360" w:hanging="360"/>
      </w:pPr>
      <w:r>
        <w:rPr>
          <w:rFonts w:ascii="Times New Roman" w:hAnsi="Times New Roman"/>
          <w:sz w:val="17"/>
        </w:rPr>
        <w:t>[8] Groq Inc., "Tensor streaming processor architecture for ultra-low latency LLM inference," Technical Whitepaper, 2024.</w:t>
      </w:r>
    </w:p>
    <w:p>
      <w:pPr>
        <w:spacing w:before="20" w:after="60" w:line="252" w:lineRule="auto"/>
        <w:ind w:left="360" w:hanging="360"/>
      </w:pPr>
      <w:r>
        <w:rPr>
          <w:rFonts w:ascii="Times New Roman" w:hAnsi="Times New Roman"/>
          <w:sz w:val="17"/>
        </w:rPr>
        <w:t>[9] Association for Computational Linguistics, "ACL Anthology: The open-access digital archive of research in natural language processing," https://aclanthology.org/, 2024.</w:t>
      </w:r>
    </w:p>
    <w:p>
      <w:pPr>
        <w:spacing w:before="20" w:after="60" w:line="252" w:lineRule="auto"/>
        <w:ind w:left="360" w:hanging="360"/>
      </w:pPr>
      <w:r>
        <w:rPr>
          <w:rFonts w:ascii="Times New Roman" w:hAnsi="Times New Roman"/>
          <w:sz w:val="17"/>
        </w:rPr>
        <w:t>[10] M. Shen, D. Wan, and M. Bansal, "Evaluating summaries with large language models: A comprehensive survey and benchmark," in Proc. 61st Annu. Meeting Assoc. Comput. Linguistics, 2023, pp. 605–621.</w:t>
      </w:r>
    </w:p>
    <w:p>
      <w:pPr>
        <w:spacing w:before="20" w:after="60" w:line="252" w:lineRule="auto"/>
        <w:ind w:left="360" w:hanging="360"/>
      </w:pPr>
      <w:r>
        <w:rPr>
          <w:rFonts w:ascii="Times New Roman" w:hAnsi="Times New Roman"/>
          <w:sz w:val="17"/>
        </w:rPr>
        <w:t>[11] D. Metzler, Y. Tay, D. Bahri, and V. Joshi, "Generative retrieval: Learning to index and retrieve documents with generative models," in Proc. 61st Annu. Meeting Assoc. Comput. Linguistics, 2023, pp. 1120–1135.</w:t>
      </w:r>
    </w:p>
    <w:p>
      <w:pPr>
        <w:spacing w:before="20" w:after="60" w:line="252" w:lineRule="auto"/>
        <w:ind w:left="360" w:hanging="360"/>
      </w:pPr>
      <w:r>
        <w:rPr>
          <w:rFonts w:ascii="Times New Roman" w:hAnsi="Times New Roman"/>
          <w:sz w:val="17"/>
        </w:rPr>
        <w:t>[12] J. Devlin, M.-W. Chang, K. Lee, and K. Toutanova, "BERT: Pre-training of deep bidirectional transformers for language understanding," in Proc. NAACL-HLT, 2019, pp. 4171–4186.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