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300"/>
        <w:gridCol w:w="4200"/>
        <w:gridCol w:w="1000"/>
        <w:gridCol w:w="4200"/>
        <w:gridCol w:w="3300"/>
        <w:tblGridChange w:id="0">
          <w:tblGrid>
            <w:gridCol w:w="900"/>
            <w:gridCol w:w="1300"/>
            <w:gridCol w:w="4200"/>
            <w:gridCol w:w="1000"/>
            <w:gridCol w:w="4200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The system shall compute triage severity scores from intake vitals and dynamically order the ER bed allocation waitlist.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Pass: Higher acuity patient automatically moves ahead of lower acuity patient. Fail: FIFO queue ignores critical emergency.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Ensures the sickest patients are treated first rather than in arrival order (given requirement).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The system shall display real-time ICU and ward bed occupancy status (Available, Occupied, Cleaning) to Triage Nurses and Hospital Administrators on a live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Pass: Dashboard reflects the current status of 100% of monitored beds without a manual page refresh. Fail: Dashboard shows a stale or incorrect status after a bed state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Enables staff to make immediate, accurate bed-placement decisions and avoid double-booking beds.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The system shall allow a Hospital Administrator to approve or reject an ICU bed transfer request submitted by a Triage Nurse.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Pass: An approved request updates the target bed status to "Reserved" and notifies the requesting nurse within 5 seconds. Fail: The approval/rejection action does not update bed status or notify the requester.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Maintains administrative oversight and accountability over scarce ICU capacity.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The system shall allow a Triage Nurse or Hospital Administrator to initiate an inter-facility ambulance transfer request when no ICU bed is available at the current facility.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Pass: When local ICU occupancy is 100%, the system generates a transfer request containing the patient's triage score, vitals summary, and candidate receiving facilities. Fail: No transfer option is offered when local ICU capacity is zero.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Ensures continuity of critical care when the local facility cannot accommodate a patient.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The system shall send an automated notification alert to relevant staff whenever a bed status changes, or a transfer request is created, approved, or rejected.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Pass: A notification is delivered to all subscribed staff within 3 seconds of the triggering event. Fail: No notification is sent, or delivery exceeds 3 seconds.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Keeps clinical and administrative staff synchronized on time-critical bed and transfer events without manual polling.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Nonfunctional (Performance &amp; 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Bed status transitions (Occupied, Cleaning, Available) must propagate to all connected ER dashboard clients in under 1 second via WebSockets.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Pass: Benchmarking tests confirm target latency and security standards under simulated peak load. Fail: Propagation exceeds 1 second or an unauthenticated client can subscribe to updates.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Stale dashboards during an ER surge can cause bed-assignment conflicts and delayed care (given requirement).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Nonfunctional (Security &amp; Compliance)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The system shall encrypt all patient triage, vitals, and transfer data in transit and at rest using industry-standard encryption (TLS 1.2+ for transit, AES-256 for storage).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Pass: A security audit confirms every patient-data channel uses TLS 1.2+ and all stored records are AES-256 encrypted. Fail: Any patient-data channel or stored record is found unencrypted or using a deprecated cipher.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i w:val="0"/>
                <w:iCs w:val="0"/>
                <w:sz w:val="18"/>
                <w:szCs w:val="18"/>
                <w:rtl w:val="0"/>
              </w:rPr>
              <w:t xml:space="preserve">Protects sensitive patient health information (PHI) and supports compliance with healthcare data-protection regulations.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620" w:right="6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