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Lab 3: Component Modelling &amp; Architectural Pattern Selection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44444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44444"/>
          <w:rtl w:val="0"/>
        </w:rPr>
        <w:t xml:space="preserve">Hospital Bed &amp; ICU Allocation Dashboard</w:t>
      </w:r>
    </w:p>
    <w:p w:rsidR="00000000" w:rsidDel="00000000" w:rsidP="00000000" w:rsidRDefault="00000000" w:rsidRPr="00000000" w14:paraId="00000003">
      <w:pPr>
        <w:spacing w:after="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Name: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Vijay Suriya 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SRN: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PES1UG24AM320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Section: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F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before="20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Architecture Selection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sz w:val="21"/>
          <w:szCs w:val="21"/>
          <w:rtl w:val="0"/>
        </w:rPr>
        <w:t xml:space="preserve">We chose the Layered Architecture (Presentation → Business → Data) for the Hospital Bed &amp; ICU Allocation Dashboard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before="20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Reason 1: Clear Separation Between Real-Time Clinical Workflows and Data Integrity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The system serves two distinct actor groups — Triage Nurses who need a fast, glanceable view of the prioritized waitlist and bed status (FR-001, FR-002), and Hospital Administrators who must approve or reject sensitive transfer decisions (FR-003). A layered structure isolates the Dashboard UI Component from the business rules that compute triage severity, manage bed state transitions, and coordinate ambulance escalation (UC-01–UC-07). This means the triage-scoring algorithm or the bed-allocation workflow can be modified or extended (e.g., adding a new escalation rule) without touching the presentation code that nurses and administrators interact with directly.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before="20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Reason 2: Simplicity of Deployment for a Single-Facility Real-Time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Unlike a multi-hospital or multi-tenant platform, this dashboard runs within one facility's ER, with a bounded, well-known set of use cases and a single authoritative source of bed/patient truth. A layered monolith avoids the operational overhead of a microservices architecture (independent deployment pipelines, inter-service network calls, distributed data consistency) while still keeping the Business Layer components (Triage &amp; Waitlist Manager, Bed Allocation Manager, Notification Service, Ambulance Transfer Coordinator) modular and independently testable through well-defined interfaces such as IBedTransferRequest and IAmbulanceTransfer.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before="20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Security Advantage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Centralizing all patient, vitals, and transfer data access behind a single Data Layer (Patient/Bed Database and Audit &amp; Transfer Log Store) lets the Auth &amp; Access Control Service enforce authentication and role-based authorization (Triage Nurse vs. Hospital Administrator) at one consistent boundary, rather than duplicating access checks across many independent services. This directly supports NFR-002: every patient-data channel between layers can be encrypted in transit with TLS 1.2+, and all records at rest in the Data Layer can be encrypted with AES-256, since there is a single, well-defined data-access path (IPatientDataAccess, IAuditWrite) to secure and audit.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before="20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Performance Benefit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sz w:val="21"/>
          <w:szCs w:val="21"/>
          <w:rtl w:val="0"/>
        </w:rPr>
        <w:t xml:space="preserve">Because the Business Layer components sit in the same process/tier and communicate through in-memory calls rather than network hops between microservices, bed-status changes computed by the Bed Allocation Manager can be pushed by the Notification Service to the Dashboard UI Component over a persistent WebSocket connection with minimal added latency. This layered design makes it practical to meet NFR-001's requirement that bed status transitions propagate to all connected ER dashboard clients in under 1 second, since the update path (Bed Allocation Manager → Notification Service → Dashboard UI) avoids the queuing and serialization delays typical of cross-service network calls in a distributed microservices setup.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before="20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Trade-off Acknowledged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The layered approach does couple the Business Layer components to a single deployable unit, so scaling the Notification Service independently under extreme ER surge load is harder than it would be in a microservices design. For the scope of a single-facility ICU dashboard, however, this trade-off is acceptable given the gains in simplicity, consistency, and security.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line="240" w:lineRule="auto"/>
        <w:jc w:val="center"/>
        <w:rPr>
          <w:rFonts w:ascii="Times New Roman" w:cs="Times New Roman" w:eastAsia="Times New Roman" w:hAnsi="Times New Roman"/>
          <w:color w:val="44444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