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840" w:line="300" w:lineRule="auto"/>
        <w:jc w:val="center"/>
      </w:pPr>
      <w:r>
        <w:rPr>
          <w:rFonts w:ascii="Calibri" w:hAnsi="Calibri" w:eastAsia="Calibri"/>
          <w:b/>
          <w:i w:val="0"/>
          <w:color w:val="F28C28"/>
          <w:sz w:val="20"/>
        </w:rPr>
        <w:t>CHATAKE INNOWORKS PVT. LTD.</w:t>
      </w:r>
    </w:p>
    <w:p>
      <w:pPr>
        <w:keepNext w:val="0"/>
        <w:spacing w:before="0" w:after="140" w:line="300" w:lineRule="auto"/>
        <w:jc w:val="center"/>
      </w:pPr>
      <w:r>
        <w:rPr>
          <w:rFonts w:ascii="Calibri" w:hAnsi="Calibri" w:eastAsia="Calibri"/>
          <w:b/>
          <w:i w:val="0"/>
          <w:color w:val="0B2545"/>
          <w:sz w:val="58"/>
        </w:rPr>
        <w:t>APOLLO AGRIVERSE</w:t>
      </w:r>
    </w:p>
    <w:p>
      <w:pPr>
        <w:keepNext w:val="0"/>
        <w:spacing w:before="0" w:after="160" w:line="300" w:lineRule="auto"/>
        <w:jc w:val="center"/>
      </w:pPr>
      <w:r>
        <w:rPr>
          <w:rFonts w:ascii="Calibri" w:hAnsi="Calibri" w:eastAsia="Calibri"/>
          <w:b/>
          <w:i w:val="0"/>
          <w:color w:val="1F4D78"/>
          <w:sz w:val="36"/>
        </w:rPr>
        <w:t>MODULE 1  |  APOLLO AGRIGUARD</w:t>
      </w:r>
    </w:p>
    <w:p>
      <w:pPr>
        <w:keepNext w:val="0"/>
        <w:spacing w:before="0" w:after="440" w:line="300" w:lineRule="auto"/>
        <w:jc w:val="center"/>
      </w:pPr>
      <w:r>
        <w:rPr>
          <w:rFonts w:ascii="Calibri" w:hAnsi="Calibri" w:eastAsia="Calibri"/>
          <w:b/>
          <w:i w:val="0"/>
          <w:color w:val="F28C28"/>
          <w:sz w:val="30"/>
        </w:rPr>
        <w:t>Intelligent Soil-Crop Digital Twin &amp; Precision Farming Blueprint</w:t>
      </w:r>
    </w:p>
    <w:p>
      <w:pPr>
        <w:keepNext w:val="0"/>
        <w:spacing w:before="0" w:after="760" w:line="300" w:lineRule="auto"/>
        <w:jc w:val="center"/>
      </w:pPr>
      <w:r>
        <w:rPr>
          <w:rFonts w:ascii="Calibri" w:hAnsi="Calibri" w:eastAsia="Calibri"/>
          <w:b w:val="0"/>
          <w:i/>
          <w:color w:val="667085"/>
          <w:sz w:val="22"/>
        </w:rPr>
        <w:t>From terrain preparation and soil development to forecasting, harvesting and post-season learning</w:t>
      </w:r>
    </w:p>
    <w:tbl>
      <w:tblPr>
        <w:tblStyle w:val="TableGrid"/>
        <w:tblW w:type="dxa" w:w="9360"/>
        <w:tblLayout w:type="fixed"/>
        <w:tblLook w:firstColumn="1" w:firstRow="1" w:lastColumn="0" w:lastRow="0" w:noHBand="0" w:noVBand="1" w:val="04A0"/>
        <w:jc w:val="center"/>
        <w:tblInd w:w="120" w:type="dxa"/>
      </w:tblPr>
      <w:tblGrid>
        <w:gridCol w:w="2200"/>
        <w:gridCol w:w="7160"/>
      </w:tblGrid>
      <w:tr>
        <w:trPr>
          <w:tblHeader w:val="true"/>
          <w:cantSplit/>
        </w:trPr>
        <w:tc>
          <w:tcPr>
            <w:tcW w:type="dxa" w:w="2200"/>
            <w:shd w:fill="E8EEF5"/>
            <w:vAlign w:val="center"/>
            <w:tcMar>
              <w:top w:w="80" w:type="dxa"/>
              <w:start w:w="120" w:type="dxa"/>
              <w:bottom w:w="80" w:type="dxa"/>
              <w:end w:w="120" w:type="dxa"/>
            </w:tcMar>
          </w:tcPr>
          <w:p>
            <w:pPr>
              <w:spacing w:after="0" w:line="252" w:lineRule="auto"/>
              <w:jc w:val="center"/>
            </w:pPr>
            <w:r>
              <w:rPr>
                <w:rFonts w:ascii="Calibri" w:hAnsi="Calibri" w:eastAsia="Calibri"/>
                <w:b/>
                <w:color w:val="0B2545"/>
                <w:sz w:val="19"/>
              </w:rPr>
              <w:t>Portfolio field</w:t>
            </w:r>
          </w:p>
        </w:tc>
        <w:tc>
          <w:tcPr>
            <w:tcW w:type="dxa" w:w="7160"/>
            <w:shd w:fill="E8EEF5"/>
            <w:vAlign w:val="center"/>
            <w:tcMar>
              <w:top w:w="80" w:type="dxa"/>
              <w:start w:w="120" w:type="dxa"/>
              <w:bottom w:w="80" w:type="dxa"/>
              <w:end w:w="120" w:type="dxa"/>
            </w:tcMar>
          </w:tcPr>
          <w:p>
            <w:pPr>
              <w:spacing w:after="0" w:line="252" w:lineRule="auto"/>
              <w:jc w:val="center"/>
            </w:pPr>
            <w:r>
              <w:rPr>
                <w:rFonts w:ascii="Calibri" w:hAnsi="Calibri" w:eastAsia="Calibri"/>
                <w:b/>
                <w:color w:val="0B2545"/>
                <w:sz w:val="19"/>
              </w:rPr>
              <w:t>Official designation</w:t>
            </w:r>
          </w:p>
        </w:tc>
      </w:tr>
      <w:tr>
        <w:trPr>
          <w:cantSplit/>
        </w:trPr>
        <w:tc>
          <w:tcPr>
            <w:tcW w:type="dxa" w:w="2200"/>
            <w:vAlign w:val="center"/>
            <w:tcMar>
              <w:top w:w="80" w:type="dxa"/>
              <w:start w:w="120" w:type="dxa"/>
              <w:bottom w:w="80" w:type="dxa"/>
              <w:end w:w="120" w:type="dxa"/>
            </w:tcMar>
          </w:tcPr>
          <w:p>
            <w:pPr>
              <w:spacing w:after="0" w:line="259" w:lineRule="auto"/>
              <w:jc w:val="left"/>
            </w:pPr>
            <w:r>
              <w:rPr>
                <w:rFonts w:ascii="Calibri" w:hAnsi="Calibri" w:eastAsia="Calibri"/>
                <w:b/>
                <w:color w:val="111827"/>
                <w:sz w:val="19"/>
              </w:rPr>
              <w:t>Umbrella</w:t>
            </w:r>
          </w:p>
        </w:tc>
        <w:tc>
          <w:tcPr>
            <w:tcW w:type="dxa" w:w="71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9"/>
              </w:rPr>
              <w:t>Apollo AgriVerse</w:t>
            </w:r>
          </w:p>
        </w:tc>
      </w:tr>
      <w:tr>
        <w:trPr>
          <w:cantSplit/>
        </w:trPr>
        <w:tc>
          <w:tcPr>
            <w:tcW w:type="dxa" w:w="2200"/>
            <w:vAlign w:val="center"/>
            <w:tcMar>
              <w:top w:w="80" w:type="dxa"/>
              <w:start w:w="120" w:type="dxa"/>
              <w:bottom w:w="80" w:type="dxa"/>
              <w:end w:w="120" w:type="dxa"/>
            </w:tcMar>
          </w:tcPr>
          <w:p>
            <w:pPr>
              <w:spacing w:after="0" w:line="259" w:lineRule="auto"/>
              <w:jc w:val="left"/>
            </w:pPr>
            <w:r>
              <w:rPr>
                <w:rFonts w:ascii="Calibri" w:hAnsi="Calibri" w:eastAsia="Calibri"/>
                <w:b/>
                <w:color w:val="111827"/>
                <w:sz w:val="19"/>
              </w:rPr>
              <w:t>Official module</w:t>
            </w:r>
          </w:p>
        </w:tc>
        <w:tc>
          <w:tcPr>
            <w:tcW w:type="dxa" w:w="71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9"/>
              </w:rPr>
              <w:t>Apollo AgriGuard - Precision Crop Intelligence &amp; Protection System</w:t>
            </w:r>
          </w:p>
        </w:tc>
      </w:tr>
      <w:tr>
        <w:trPr>
          <w:cantSplit/>
        </w:trPr>
        <w:tc>
          <w:tcPr>
            <w:tcW w:type="dxa" w:w="2200"/>
            <w:vAlign w:val="center"/>
            <w:tcMar>
              <w:top w:w="80" w:type="dxa"/>
              <w:start w:w="120" w:type="dxa"/>
              <w:bottom w:w="80" w:type="dxa"/>
              <w:end w:w="120" w:type="dxa"/>
            </w:tcMar>
          </w:tcPr>
          <w:p>
            <w:pPr>
              <w:spacing w:after="0" w:line="259" w:lineRule="auto"/>
              <w:jc w:val="left"/>
            </w:pPr>
            <w:r>
              <w:rPr>
                <w:rFonts w:ascii="Calibri" w:hAnsi="Calibri" w:eastAsia="Calibri"/>
                <w:b/>
                <w:color w:val="111827"/>
                <w:sz w:val="19"/>
              </w:rPr>
              <w:t>Core technology</w:t>
            </w:r>
          </w:p>
        </w:tc>
        <w:tc>
          <w:tcPr>
            <w:tcW w:type="dxa" w:w="71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9"/>
              </w:rPr>
              <w:t>Apollo Soil360 - hierarchical soil, plot, plant and farm digital twin</w:t>
            </w:r>
          </w:p>
        </w:tc>
      </w:tr>
      <w:tr>
        <w:trPr>
          <w:cantSplit/>
        </w:trPr>
        <w:tc>
          <w:tcPr>
            <w:tcW w:type="dxa" w:w="2200"/>
            <w:vAlign w:val="center"/>
            <w:tcMar>
              <w:top w:w="80" w:type="dxa"/>
              <w:start w:w="120" w:type="dxa"/>
              <w:bottom w:w="80" w:type="dxa"/>
              <w:end w:w="120" w:type="dxa"/>
            </w:tcMar>
          </w:tcPr>
          <w:p>
            <w:pPr>
              <w:spacing w:after="0" w:line="259" w:lineRule="auto"/>
              <w:jc w:val="left"/>
            </w:pPr>
            <w:r>
              <w:rPr>
                <w:rFonts w:ascii="Calibri" w:hAnsi="Calibri" w:eastAsia="Calibri"/>
                <w:b/>
                <w:color w:val="111827"/>
                <w:sz w:val="19"/>
              </w:rPr>
              <w:t>Research identity</w:t>
            </w:r>
          </w:p>
        </w:tc>
        <w:tc>
          <w:tcPr>
            <w:tcW w:type="dxa" w:w="71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9"/>
              </w:rPr>
              <w:t>APOLLO-SOIL360 - multiscale physics-informed soil-crop intelligence</w:t>
            </w:r>
          </w:p>
        </w:tc>
      </w:tr>
      <w:tr>
        <w:trPr>
          <w:cantSplit/>
        </w:trPr>
        <w:tc>
          <w:tcPr>
            <w:tcW w:type="dxa" w:w="2200"/>
            <w:vAlign w:val="center"/>
            <w:tcMar>
              <w:top w:w="80" w:type="dxa"/>
              <w:start w:w="120" w:type="dxa"/>
              <w:bottom w:w="80" w:type="dxa"/>
              <w:end w:w="120" w:type="dxa"/>
            </w:tcMar>
          </w:tcPr>
          <w:p>
            <w:pPr>
              <w:spacing w:after="0" w:line="259" w:lineRule="auto"/>
              <w:jc w:val="left"/>
            </w:pPr>
            <w:r>
              <w:rPr>
                <w:rFonts w:ascii="Calibri" w:hAnsi="Calibri" w:eastAsia="Calibri"/>
                <w:b/>
                <w:color w:val="111827"/>
                <w:sz w:val="19"/>
              </w:rPr>
              <w:t>Integration</w:t>
            </w:r>
          </w:p>
        </w:tc>
        <w:tc>
          <w:tcPr>
            <w:tcW w:type="dxa" w:w="71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9"/>
              </w:rPr>
              <w:t>Standalone platform with an open, versioned Apollo RoboLink / ROS2 docking end</w:t>
            </w:r>
          </w:p>
        </w:tc>
      </w:tr>
      <w:tr>
        <w:trPr>
          <w:cantSplit/>
        </w:trPr>
        <w:tc>
          <w:tcPr>
            <w:tcW w:type="dxa" w:w="2200"/>
            <w:vAlign w:val="center"/>
            <w:tcMar>
              <w:top w:w="80" w:type="dxa"/>
              <w:start w:w="120" w:type="dxa"/>
              <w:bottom w:w="80" w:type="dxa"/>
              <w:end w:w="120" w:type="dxa"/>
            </w:tcMar>
          </w:tcPr>
          <w:p>
            <w:pPr>
              <w:spacing w:after="0" w:line="259" w:lineRule="auto"/>
              <w:jc w:val="left"/>
            </w:pPr>
            <w:r>
              <w:rPr>
                <w:rFonts w:ascii="Calibri" w:hAnsi="Calibri" w:eastAsia="Calibri"/>
                <w:b/>
                <w:color w:val="111827"/>
                <w:sz w:val="19"/>
              </w:rPr>
              <w:t>Document</w:t>
            </w:r>
          </w:p>
        </w:tc>
        <w:tc>
          <w:tcPr>
            <w:tcW w:type="dxa" w:w="71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9"/>
              </w:rPr>
              <w:t>Internal Team Blueprint v1.0 | 05 August 2026</w:t>
            </w:r>
          </w:p>
        </w:tc>
      </w:tr>
    </w:tbl>
    <w:p>
      <w:pPr>
        <w:keepNext w:val="0"/>
        <w:spacing w:before="0" w:after="40" w:line="300" w:lineRule="auto"/>
        <w:jc w:val="left"/>
      </w:pPr>
      <w:r>
        <w:rPr>
          <w:rFonts w:ascii="Calibri" w:hAnsi="Calibri" w:eastAsia="Calibri"/>
          <w:b w:val="0"/>
          <w:i w:val="0"/>
          <w:color w:val="111827"/>
          <w:sz w:val="22"/>
        </w:rPr>
      </w:r>
    </w:p>
    <w:p>
      <w:pPr>
        <w:keepNext w:val="0"/>
        <w:spacing w:before="0" w:after="80" w:line="300" w:lineRule="auto"/>
        <w:jc w:val="center"/>
      </w:pPr>
      <w:r>
        <w:rPr>
          <w:rFonts w:ascii="Calibri" w:hAnsi="Calibri" w:eastAsia="Calibri"/>
          <w:b w:val="0"/>
          <w:i w:val="0"/>
          <w:color w:val="667085"/>
          <w:sz w:val="19"/>
        </w:rPr>
        <w:t>Prepared for the four-member Apollo AgriGuard team and Apollo AgriVerse program leadership</w:t>
      </w:r>
    </w:p>
    <w:p>
      <w:pPr>
        <w:keepNext w:val="0"/>
        <w:spacing w:before="0" w:after="0" w:line="300" w:lineRule="auto"/>
        <w:jc w:val="center"/>
      </w:pPr>
      <w:r>
        <w:rPr>
          <w:rFonts w:ascii="Calibri" w:hAnsi="Calibri" w:eastAsia="Calibri"/>
          <w:b w:val="0"/>
          <w:i w:val="0"/>
          <w:color w:val="667085"/>
          <w:sz w:val="19"/>
        </w:rPr>
        <w:t>Program Sponsor / Product Owner: Akash Shivadas Chatake</w:t>
      </w:r>
    </w:p>
    <w:p>
      <w:r>
        <w:br w:type="page"/>
      </w:r>
    </w:p>
    <w:p>
      <w:pPr>
        <w:pStyle w:val="Heading1"/>
      </w:pPr>
      <w:r>
        <w:t>Document control and reading guide</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E8EEF5"/>
            <w:tcBorders>
              <w:top w:val="nil"/>
              <w:left w:val="single" w:sz="12" w:space="0" w:color="2E74B5"/>
              <w:bottom w:val="nil"/>
              <w:right w:val="nil"/>
            </w:tcBorders>
          </w:tcPr>
          <w:p>
            <w:pPr>
              <w:spacing w:after="40" w:line="288" w:lineRule="auto"/>
            </w:pPr>
            <w:r>
              <w:rPr>
                <w:rFonts w:ascii="Calibri" w:hAnsi="Calibri" w:eastAsia="Calibri"/>
                <w:b/>
                <w:color w:val="2E74B5"/>
                <w:sz w:val="21"/>
              </w:rPr>
              <w:t xml:space="preserve">Purpose. </w:t>
            </w:r>
            <w:r>
              <w:rPr>
                <w:rFonts w:ascii="Calibri" w:hAnsi="Calibri" w:eastAsia="Calibri"/>
                <w:color w:val="111827"/>
                <w:sz w:val="21"/>
              </w:rPr>
              <w:t>This is the complete handoff blueprint for Apollo AgriVerse Module 1. It defines the scientific scope, soil-first digital twin, field experiments, IoT network, data and model packages, 100-hour command window, team ownership, delivery gates and the open ROS2 docking contract.</w:t>
            </w:r>
          </w:p>
        </w:tc>
      </w:tr>
    </w:tbl>
    <w:p>
      <w:pPr>
        <w:keepNext w:val="0"/>
        <w:spacing w:before="0" w:after="40" w:line="300" w:lineRule="auto"/>
        <w:jc w:val="left"/>
      </w:pPr>
      <w:r>
        <w:rPr>
          <w:rFonts w:ascii="Calibri" w:hAnsi="Calibri" w:eastAsia="Calibri"/>
          <w:b w:val="0"/>
          <w:i w:val="0"/>
          <w:color w:val="111827"/>
          <w:sz w:val="22"/>
        </w:rPr>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shd w:fill="E8EEF5"/>
            <w:vAlign w:val="center"/>
            <w:tcMar>
              <w:top w:w="80" w:type="dxa"/>
              <w:start w:w="120" w:type="dxa"/>
              <w:bottom w:w="80" w:type="dxa"/>
              <w:end w:w="120" w:type="dxa"/>
            </w:tcMar>
          </w:tcPr>
          <w:p>
            <w:pPr>
              <w:spacing w:after="0" w:line="252" w:lineRule="auto"/>
              <w:jc w:val="center"/>
            </w:pPr>
            <w:r>
              <w:rPr>
                <w:rFonts w:ascii="Calibri" w:hAnsi="Calibri" w:eastAsia="Calibri"/>
                <w:b/>
                <w:color w:val="0B2545"/>
                <w:sz w:val="18"/>
              </w:rPr>
              <w:t>Item</w:t>
            </w:r>
          </w:p>
        </w:tc>
        <w:tc>
          <w:tcPr>
            <w:tcW w:type="dxa" w:w="7160"/>
            <w:shd w:fill="E8EEF5"/>
            <w:vAlign w:val="center"/>
            <w:tcMar>
              <w:top w:w="80" w:type="dxa"/>
              <w:start w:w="120" w:type="dxa"/>
              <w:bottom w:w="80" w:type="dxa"/>
              <w:end w:w="120" w:type="dxa"/>
            </w:tcMar>
          </w:tcPr>
          <w:p>
            <w:pPr>
              <w:spacing w:after="0" w:line="252" w:lineRule="auto"/>
              <w:jc w:val="center"/>
            </w:pPr>
            <w:r>
              <w:rPr>
                <w:rFonts w:ascii="Calibri" w:hAnsi="Calibri" w:eastAsia="Calibri"/>
                <w:b/>
                <w:color w:val="0B2545"/>
                <w:sz w:val="18"/>
              </w:rPr>
              <w:t>Decision</w:t>
            </w:r>
          </w:p>
        </w:tc>
      </w:tr>
      <w:tr>
        <w:trPr>
          <w:cantSplit/>
        </w:trPr>
        <w:tc>
          <w:tcPr>
            <w:tcW w:type="dxa" w:w="2200"/>
            <w:vAlign w:val="center"/>
            <w:tcMar>
              <w:top w:w="80" w:type="dxa"/>
              <w:start w:w="120" w:type="dxa"/>
              <w:bottom w:w="80" w:type="dxa"/>
              <w:end w:w="120" w:type="dxa"/>
            </w:tcMar>
          </w:tcPr>
          <w:p>
            <w:pPr>
              <w:spacing w:after="0" w:line="259" w:lineRule="auto"/>
              <w:jc w:val="left"/>
            </w:pPr>
            <w:r>
              <w:rPr>
                <w:rFonts w:ascii="Calibri" w:hAnsi="Calibri" w:eastAsia="Calibri"/>
                <w:b/>
                <w:color w:val="111827"/>
                <w:sz w:val="18"/>
              </w:rPr>
              <w:t>Primary audience</w:t>
            </w:r>
          </w:p>
        </w:tc>
        <w:tc>
          <w:tcPr>
            <w:tcW w:type="dxa" w:w="71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8"/>
              </w:rPr>
              <w:t>Apollo AgriGuard soil/IoT, AI/ML, platform and field-operations team</w:t>
            </w:r>
          </w:p>
        </w:tc>
      </w:tr>
      <w:tr>
        <w:trPr>
          <w:cantSplit/>
        </w:trPr>
        <w:tc>
          <w:tcPr>
            <w:tcW w:type="dxa" w:w="2200"/>
            <w:vAlign w:val="center"/>
            <w:tcMar>
              <w:top w:w="80" w:type="dxa"/>
              <w:start w:w="120" w:type="dxa"/>
              <w:bottom w:w="80" w:type="dxa"/>
              <w:end w:w="120" w:type="dxa"/>
            </w:tcMar>
          </w:tcPr>
          <w:p>
            <w:pPr>
              <w:spacing w:after="0" w:line="259" w:lineRule="auto"/>
              <w:jc w:val="left"/>
            </w:pPr>
            <w:r>
              <w:rPr>
                <w:rFonts w:ascii="Calibri" w:hAnsi="Calibri" w:eastAsia="Calibri"/>
                <w:b/>
                <w:color w:val="111827"/>
                <w:sz w:val="18"/>
              </w:rPr>
              <w:t>Primary object</w:t>
            </w:r>
          </w:p>
        </w:tc>
        <w:tc>
          <w:tcPr>
            <w:tcW w:type="dxa" w:w="71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8"/>
              </w:rPr>
              <w:t>Soil-crop system across farm, field, plot/management zone and representative plant/row scales</w:t>
            </w:r>
          </w:p>
        </w:tc>
      </w:tr>
      <w:tr>
        <w:trPr>
          <w:cantSplit/>
        </w:trPr>
        <w:tc>
          <w:tcPr>
            <w:tcW w:type="dxa" w:w="2200"/>
            <w:vAlign w:val="center"/>
            <w:tcMar>
              <w:top w:w="80" w:type="dxa"/>
              <w:start w:w="120" w:type="dxa"/>
              <w:bottom w:w="80" w:type="dxa"/>
              <w:end w:w="120" w:type="dxa"/>
            </w:tcMar>
          </w:tcPr>
          <w:p>
            <w:pPr>
              <w:spacing w:after="0" w:line="259" w:lineRule="auto"/>
              <w:jc w:val="left"/>
            </w:pPr>
            <w:r>
              <w:rPr>
                <w:rFonts w:ascii="Calibri" w:hAnsi="Calibri" w:eastAsia="Calibri"/>
                <w:b/>
                <w:color w:val="111827"/>
                <w:sz w:val="18"/>
              </w:rPr>
              <w:t>Lifecycle</w:t>
            </w:r>
          </w:p>
        </w:tc>
        <w:tc>
          <w:tcPr>
            <w:tcW w:type="dxa" w:w="71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8"/>
              </w:rPr>
              <w:t>Survey and terrain preparation through harvest and post-harvest soil recovery</w:t>
            </w:r>
          </w:p>
        </w:tc>
      </w:tr>
      <w:tr>
        <w:trPr>
          <w:cantSplit/>
        </w:trPr>
        <w:tc>
          <w:tcPr>
            <w:tcW w:type="dxa" w:w="2200"/>
            <w:vAlign w:val="center"/>
            <w:tcMar>
              <w:top w:w="80" w:type="dxa"/>
              <w:start w:w="120" w:type="dxa"/>
              <w:bottom w:w="80" w:type="dxa"/>
              <w:end w:w="120" w:type="dxa"/>
            </w:tcMar>
          </w:tcPr>
          <w:p>
            <w:pPr>
              <w:spacing w:after="0" w:line="259" w:lineRule="auto"/>
              <w:jc w:val="left"/>
            </w:pPr>
            <w:r>
              <w:rPr>
                <w:rFonts w:ascii="Calibri" w:hAnsi="Calibri" w:eastAsia="Calibri"/>
                <w:b/>
                <w:color w:val="111827"/>
                <w:sz w:val="18"/>
              </w:rPr>
              <w:t>Standalone rule</w:t>
            </w:r>
          </w:p>
        </w:tc>
        <w:tc>
          <w:tcPr>
            <w:tcW w:type="dxa" w:w="71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8"/>
              </w:rPr>
              <w:t>AgriGuard owns its ingestion, twin, intelligence, dashboard, APIs, tests and manual task workflow</w:t>
            </w:r>
          </w:p>
        </w:tc>
      </w:tr>
      <w:tr>
        <w:trPr>
          <w:cantSplit/>
        </w:trPr>
        <w:tc>
          <w:tcPr>
            <w:tcW w:type="dxa" w:w="2200"/>
            <w:vAlign w:val="center"/>
            <w:tcMar>
              <w:top w:w="80" w:type="dxa"/>
              <w:start w:w="120" w:type="dxa"/>
              <w:bottom w:w="80" w:type="dxa"/>
              <w:end w:w="120" w:type="dxa"/>
            </w:tcMar>
          </w:tcPr>
          <w:p>
            <w:pPr>
              <w:spacing w:after="0" w:line="259" w:lineRule="auto"/>
              <w:jc w:val="left"/>
            </w:pPr>
            <w:r>
              <w:rPr>
                <w:rFonts w:ascii="Calibri" w:hAnsi="Calibri" w:eastAsia="Calibri"/>
                <w:b/>
                <w:color w:val="111827"/>
                <w:sz w:val="18"/>
              </w:rPr>
              <w:t>Robotics boundary</w:t>
            </w:r>
          </w:p>
        </w:tc>
        <w:tc>
          <w:tcPr>
            <w:tcW w:type="dxa" w:w="71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8"/>
              </w:rPr>
              <w:t>AgriGuard requests missions; Apollo RoboLink owns navigation, actuation, payloads and robot safety</w:t>
            </w:r>
          </w:p>
        </w:tc>
      </w:tr>
      <w:tr>
        <w:trPr>
          <w:cantSplit/>
        </w:trPr>
        <w:tc>
          <w:tcPr>
            <w:tcW w:type="dxa" w:w="2200"/>
            <w:vAlign w:val="center"/>
            <w:tcMar>
              <w:top w:w="80" w:type="dxa"/>
              <w:start w:w="120" w:type="dxa"/>
              <w:bottom w:w="80" w:type="dxa"/>
              <w:end w:w="120" w:type="dxa"/>
            </w:tcMar>
          </w:tcPr>
          <w:p>
            <w:pPr>
              <w:spacing w:after="0" w:line="259" w:lineRule="auto"/>
              <w:jc w:val="left"/>
            </w:pPr>
            <w:r>
              <w:rPr>
                <w:rFonts w:ascii="Calibri" w:hAnsi="Calibri" w:eastAsia="Calibri"/>
                <w:b/>
                <w:color w:val="111827"/>
                <w:sz w:val="18"/>
              </w:rPr>
              <w:t>Evidence posture</w:t>
            </w:r>
          </w:p>
        </w:tc>
        <w:tc>
          <w:tcPr>
            <w:tcW w:type="dxa" w:w="71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8"/>
              </w:rPr>
              <w:t>Every result is labelled verified field result, controlled trial, simulation, design target or projection</w:t>
            </w:r>
          </w:p>
        </w:tc>
      </w:tr>
    </w:tbl>
    <w:p>
      <w:pPr>
        <w:keepNext w:val="0"/>
        <w:spacing w:before="0" w:after="40" w:line="300" w:lineRule="auto"/>
        <w:jc w:val="left"/>
      </w:pPr>
      <w:r>
        <w:rPr>
          <w:rFonts w:ascii="Calibri" w:hAnsi="Calibri" w:eastAsia="Calibri"/>
          <w:b w:val="0"/>
          <w:i w:val="0"/>
          <w:color w:val="111827"/>
          <w:sz w:val="22"/>
        </w:rPr>
      </w:r>
    </w:p>
    <w:p>
      <w:pPr>
        <w:pStyle w:val="Heading2"/>
      </w:pPr>
      <w:r>
        <w:t>Contents</w:t>
      </w:r>
    </w:p>
    <w:p>
      <w:pPr>
        <w:numPr>
          <w:ilvl w:val="0"/>
          <w:numId w:val="10"/>
        </w:numPr>
        <w:spacing w:after="20" w:line="240" w:lineRule="auto"/>
      </w:pPr>
      <w:r>
        <w:rPr>
          <w:rFonts w:ascii="Calibri" w:hAnsi="Calibri" w:eastAsia="Calibri"/>
          <w:color w:val="111827"/>
          <w:sz w:val="18"/>
        </w:rPr>
        <w:t>1. Executive decision, official identity and core technology</w:t>
      </w:r>
    </w:p>
    <w:p>
      <w:pPr>
        <w:numPr>
          <w:ilvl w:val="0"/>
          <w:numId w:val="10"/>
        </w:numPr>
        <w:spacing w:after="20" w:line="240" w:lineRule="auto"/>
      </w:pPr>
      <w:r>
        <w:rPr>
          <w:rFonts w:ascii="Calibri" w:hAnsi="Calibri" w:eastAsia="Calibri"/>
          <w:color w:val="111827"/>
          <w:sz w:val="18"/>
        </w:rPr>
        <w:t>2. Project charter, outcomes and boundaries</w:t>
      </w:r>
    </w:p>
    <w:p>
      <w:pPr>
        <w:numPr>
          <w:ilvl w:val="0"/>
          <w:numId w:val="10"/>
        </w:numPr>
        <w:spacing w:after="20" w:line="240" w:lineRule="auto"/>
      </w:pPr>
      <w:r>
        <w:rPr>
          <w:rFonts w:ascii="Calibri" w:hAnsi="Calibri" w:eastAsia="Calibri"/>
          <w:color w:val="111827"/>
          <w:sz w:val="18"/>
        </w:rPr>
        <w:t>3. Whole-farm life-cycle and digital-twin doctrine</w:t>
      </w:r>
    </w:p>
    <w:p>
      <w:pPr>
        <w:numPr>
          <w:ilvl w:val="0"/>
          <w:numId w:val="10"/>
        </w:numPr>
        <w:spacing w:after="20" w:line="240" w:lineRule="auto"/>
      </w:pPr>
      <w:r>
        <w:rPr>
          <w:rFonts w:ascii="Calibri" w:hAnsi="Calibri" w:eastAsia="Calibri"/>
          <w:color w:val="111827"/>
          <w:sz w:val="18"/>
        </w:rPr>
        <w:t>4. Apollo Soil360 intelligent soil-development core</w:t>
      </w:r>
    </w:p>
    <w:p>
      <w:pPr>
        <w:numPr>
          <w:ilvl w:val="0"/>
          <w:numId w:val="10"/>
        </w:numPr>
        <w:spacing w:after="20" w:line="240" w:lineRule="auto"/>
      </w:pPr>
      <w:r>
        <w:rPr>
          <w:rFonts w:ascii="Calibri" w:hAnsi="Calibri" w:eastAsia="Calibri"/>
          <w:color w:val="111827"/>
          <w:sz w:val="18"/>
        </w:rPr>
        <w:t>5. Mulch, hydrogel and soil-treatment experimental programme</w:t>
      </w:r>
    </w:p>
    <w:p>
      <w:pPr>
        <w:numPr>
          <w:ilvl w:val="0"/>
          <w:numId w:val="10"/>
        </w:numPr>
        <w:spacing w:after="20" w:line="240" w:lineRule="auto"/>
      </w:pPr>
      <w:r>
        <w:rPr>
          <w:rFonts w:ascii="Calibri" w:hAnsi="Calibri" w:eastAsia="Calibri"/>
          <w:color w:val="111827"/>
          <w:sz w:val="18"/>
        </w:rPr>
        <w:t>6. IoT, field sensing, imagery and data-quality plan</w:t>
      </w:r>
    </w:p>
    <w:p>
      <w:pPr>
        <w:numPr>
          <w:ilvl w:val="0"/>
          <w:numId w:val="10"/>
        </w:numPr>
        <w:spacing w:after="20" w:line="240" w:lineRule="auto"/>
      </w:pPr>
      <w:r>
        <w:rPr>
          <w:rFonts w:ascii="Calibri" w:hAnsi="Calibri" w:eastAsia="Calibri"/>
          <w:color w:val="111827"/>
          <w:sz w:val="18"/>
        </w:rPr>
        <w:t>7. Hierarchical digital-twin data model and operational ledger</w:t>
      </w:r>
    </w:p>
    <w:p>
      <w:pPr>
        <w:numPr>
          <w:ilvl w:val="0"/>
          <w:numId w:val="10"/>
        </w:numPr>
        <w:spacing w:after="20" w:line="240" w:lineRule="auto"/>
      </w:pPr>
      <w:r>
        <w:rPr>
          <w:rFonts w:ascii="Calibri" w:hAnsi="Calibri" w:eastAsia="Calibri"/>
          <w:color w:val="111827"/>
          <w:sz w:val="18"/>
        </w:rPr>
        <w:t>8. AI/ML model work packages</w:t>
      </w:r>
    </w:p>
    <w:p>
      <w:pPr>
        <w:numPr>
          <w:ilvl w:val="0"/>
          <w:numId w:val="10"/>
        </w:numPr>
        <w:spacing w:after="20" w:line="240" w:lineRule="auto"/>
      </w:pPr>
      <w:r>
        <w:rPr>
          <w:rFonts w:ascii="Calibri" w:hAnsi="Calibri" w:eastAsia="Calibri"/>
          <w:color w:val="111827"/>
          <w:sz w:val="18"/>
        </w:rPr>
        <w:t>9. Weather, yield forecasting and the rolling 100-hour command window</w:t>
      </w:r>
    </w:p>
    <w:p>
      <w:pPr>
        <w:numPr>
          <w:ilvl w:val="0"/>
          <w:numId w:val="10"/>
        </w:numPr>
        <w:spacing w:after="20" w:line="240" w:lineRule="auto"/>
      </w:pPr>
      <w:r>
        <w:rPr>
          <w:rFonts w:ascii="Calibri" w:hAnsi="Calibri" w:eastAsia="Calibri"/>
          <w:color w:val="111827"/>
          <w:sz w:val="18"/>
        </w:rPr>
        <w:t>10. Decision engine, dashboard and farm workflows</w:t>
      </w:r>
    </w:p>
    <w:p>
      <w:pPr>
        <w:numPr>
          <w:ilvl w:val="0"/>
          <w:numId w:val="10"/>
        </w:numPr>
        <w:spacing w:after="20" w:line="240" w:lineRule="auto"/>
      </w:pPr>
      <w:r>
        <w:rPr>
          <w:rFonts w:ascii="Calibri" w:hAnsi="Calibri" w:eastAsia="Calibri"/>
          <w:color w:val="111827"/>
          <w:sz w:val="18"/>
        </w:rPr>
        <w:t>11. Apollo Indian field dataset and annotation programme</w:t>
      </w:r>
    </w:p>
    <w:p>
      <w:pPr>
        <w:numPr>
          <w:ilvl w:val="0"/>
          <w:numId w:val="10"/>
        </w:numPr>
        <w:spacing w:after="20" w:line="240" w:lineRule="auto"/>
      </w:pPr>
      <w:r>
        <w:rPr>
          <w:rFonts w:ascii="Calibri" w:hAnsi="Calibri" w:eastAsia="Calibri"/>
          <w:color w:val="111827"/>
          <w:sz w:val="18"/>
        </w:rPr>
        <w:t>12. Public datasets, Earth observation and authoritative resources</w:t>
      </w:r>
    </w:p>
    <w:p>
      <w:pPr>
        <w:numPr>
          <w:ilvl w:val="0"/>
          <w:numId w:val="10"/>
        </w:numPr>
        <w:spacing w:after="20" w:line="240" w:lineRule="auto"/>
      </w:pPr>
      <w:r>
        <w:rPr>
          <w:rFonts w:ascii="Calibri" w:hAnsi="Calibri" w:eastAsia="Calibri"/>
          <w:color w:val="111827"/>
          <w:sz w:val="18"/>
        </w:rPr>
        <w:t>13. Software architecture, repository and MLOps blueprint</w:t>
      </w:r>
    </w:p>
    <w:p>
      <w:pPr>
        <w:numPr>
          <w:ilvl w:val="0"/>
          <w:numId w:val="10"/>
        </w:numPr>
        <w:spacing w:after="20" w:line="240" w:lineRule="auto"/>
      </w:pPr>
      <w:r>
        <w:rPr>
          <w:rFonts w:ascii="Calibri" w:hAnsi="Calibri" w:eastAsia="Calibri"/>
          <w:color w:val="111827"/>
          <w:sz w:val="18"/>
        </w:rPr>
        <w:t>14. Hardware, field resources and pilot-site plan</w:t>
      </w:r>
    </w:p>
    <w:p>
      <w:pPr>
        <w:numPr>
          <w:ilvl w:val="0"/>
          <w:numId w:val="10"/>
        </w:numPr>
        <w:spacing w:after="20" w:line="240" w:lineRule="auto"/>
      </w:pPr>
      <w:r>
        <w:rPr>
          <w:rFonts w:ascii="Calibri" w:hAnsi="Calibri" w:eastAsia="Calibri"/>
          <w:color w:val="111827"/>
          <w:sz w:val="18"/>
        </w:rPr>
        <w:t>15. ROS2 open-end docking contract</w:t>
      </w:r>
    </w:p>
    <w:p>
      <w:pPr>
        <w:numPr>
          <w:ilvl w:val="0"/>
          <w:numId w:val="10"/>
        </w:numPr>
        <w:spacing w:after="20" w:line="240" w:lineRule="auto"/>
      </w:pPr>
      <w:r>
        <w:rPr>
          <w:rFonts w:ascii="Calibri" w:hAnsi="Calibri" w:eastAsia="Calibri"/>
          <w:color w:val="111827"/>
          <w:sz w:val="18"/>
        </w:rPr>
        <w:t>16. Four-member team structure and execution governance</w:t>
      </w:r>
    </w:p>
    <w:p>
      <w:pPr>
        <w:numPr>
          <w:ilvl w:val="0"/>
          <w:numId w:val="10"/>
        </w:numPr>
        <w:spacing w:after="20" w:line="240" w:lineRule="auto"/>
      </w:pPr>
      <w:r>
        <w:rPr>
          <w:rFonts w:ascii="Calibri" w:hAnsi="Calibri" w:eastAsia="Calibri"/>
          <w:color w:val="111827"/>
          <w:sz w:val="18"/>
        </w:rPr>
        <w:t>17. Twenty-four-week roadmap, milestones and acceptance gates</w:t>
      </w:r>
    </w:p>
    <w:p>
      <w:pPr>
        <w:numPr>
          <w:ilvl w:val="0"/>
          <w:numId w:val="10"/>
        </w:numPr>
        <w:spacing w:after="20" w:line="240" w:lineRule="auto"/>
      </w:pPr>
      <w:r>
        <w:rPr>
          <w:rFonts w:ascii="Calibri" w:hAnsi="Calibri" w:eastAsia="Calibri"/>
          <w:color w:val="111827"/>
          <w:sz w:val="18"/>
        </w:rPr>
        <w:t>18. Evaluation, safety, ethics and risk management</w:t>
      </w:r>
    </w:p>
    <w:p>
      <w:pPr>
        <w:numPr>
          <w:ilvl w:val="0"/>
          <w:numId w:val="10"/>
        </w:numPr>
        <w:spacing w:after="20" w:line="240" w:lineRule="auto"/>
      </w:pPr>
      <w:r>
        <w:rPr>
          <w:rFonts w:ascii="Calibri" w:hAnsi="Calibri" w:eastAsia="Calibri"/>
          <w:color w:val="111827"/>
          <w:sz w:val="18"/>
        </w:rPr>
        <w:t>19. Deliverables, research outputs and handover</w:t>
      </w:r>
    </w:p>
    <w:p>
      <w:pPr>
        <w:numPr>
          <w:ilvl w:val="0"/>
          <w:numId w:val="10"/>
        </w:numPr>
        <w:spacing w:after="20" w:line="240" w:lineRule="auto"/>
      </w:pPr>
      <w:r>
        <w:rPr>
          <w:rFonts w:ascii="Calibri" w:hAnsi="Calibri" w:eastAsia="Calibri"/>
          <w:color w:val="111827"/>
          <w:sz w:val="18"/>
        </w:rPr>
        <w:t>Appendices: entity schema, interfaces, first 30 days, source register and approvals</w:t>
      </w:r>
    </w:p>
    <w:p>
      <w:pPr>
        <w:pStyle w:val="Heading1"/>
        <w:pageBreakBefore/>
      </w:pPr>
      <w:r>
        <w:t>1. Executive decision, official identity and core technology</w:t>
      </w:r>
    </w:p>
    <w:p>
      <w:pPr>
        <w:keepNext w:val="0"/>
        <w:spacing w:before="0" w:after="120" w:line="300" w:lineRule="auto"/>
        <w:jc w:val="left"/>
      </w:pPr>
      <w:r>
        <w:rPr>
          <w:rFonts w:ascii="Calibri" w:hAnsi="Calibri" w:eastAsia="Calibri"/>
          <w:b w:val="0"/>
          <w:i w:val="0"/>
          <w:color w:val="111827"/>
          <w:sz w:val="22"/>
        </w:rPr>
        <w:t>Apollo AgriGuard is Module 1 of Apollo AgriVerse. Its complete responsibility is the intelligence of cultivated land: how terrain, soil, water, weather, crop, treatment and operations interact from field preparation through harvest. Crop protection remains part of the system, but it is no longer the complete definition.</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FFF3E6"/>
            <w:tcBorders>
              <w:top w:val="nil"/>
              <w:left w:val="single" w:sz="12" w:space="0" w:color="F28C28"/>
              <w:bottom w:val="nil"/>
              <w:right w:val="nil"/>
            </w:tcBorders>
          </w:tcPr>
          <w:p>
            <w:pPr>
              <w:spacing w:after="40" w:line="288" w:lineRule="auto"/>
            </w:pPr>
            <w:r>
              <w:rPr>
                <w:rFonts w:ascii="Calibri" w:hAnsi="Calibri" w:eastAsia="Calibri"/>
                <w:b/>
                <w:color w:val="F28C28"/>
                <w:sz w:val="21"/>
              </w:rPr>
              <w:t xml:space="preserve">Official naming decision. </w:t>
            </w:r>
            <w:r>
              <w:rPr>
                <w:rFonts w:ascii="Calibri" w:hAnsi="Calibri" w:eastAsia="Calibri"/>
                <w:color w:val="111827"/>
                <w:sz w:val="21"/>
              </w:rPr>
              <w:t>Keep Apollo AgriGuard as the public module name so existing research remains recognisable. Name its core technology Apollo Soil360. Use APOLLO-SOIL360 as the academic identity for papers, datasets and benchmark reports.</w:t>
            </w:r>
          </w:p>
        </w:tc>
      </w:tr>
    </w:tbl>
    <w:p>
      <w:pPr>
        <w:keepNext w:val="0"/>
        <w:spacing w:before="0" w:after="40" w:line="300" w:lineRule="auto"/>
        <w:jc w:val="left"/>
      </w:pPr>
      <w:r>
        <w:rPr>
          <w:rFonts w:ascii="Calibri" w:hAnsi="Calibri" w:eastAsia="Calibri"/>
          <w:b w:val="0"/>
          <w:i w:val="0"/>
          <w:color w:val="111827"/>
          <w:sz w:val="22"/>
        </w:rPr>
      </w:r>
    </w:p>
    <w:tbl>
      <w:tblPr>
        <w:tblStyle w:val="TableGrid"/>
        <w:tblW w:type="dxa" w:w="9360"/>
        <w:jc w:val="left"/>
        <w:tblLayout w:type="fixed"/>
        <w:tblLook w:firstColumn="1" w:firstRow="1" w:lastColumn="0" w:lastRow="0" w:noHBand="0" w:noVBand="1" w:val="04A0"/>
        <w:tblInd w:w="120" w:type="dxa"/>
      </w:tblPr>
      <w:tblGrid>
        <w:gridCol w:w="1700"/>
        <w:gridCol w:w="2200"/>
        <w:gridCol w:w="5460"/>
      </w:tblGrid>
      <w:tr>
        <w:trPr>
          <w:tblHeader w:val="true"/>
          <w:cantSplit/>
        </w:trPr>
        <w:tc>
          <w:tcPr>
            <w:tcW w:type="dxa" w:w="1700"/>
            <w:shd w:fill="E8EEF5"/>
            <w:vAlign w:val="center"/>
            <w:tcMar>
              <w:top w:w="80" w:type="dxa"/>
              <w:start w:w="120" w:type="dxa"/>
              <w:bottom w:w="80" w:type="dxa"/>
              <w:end w:w="120" w:type="dxa"/>
            </w:tcMar>
          </w:tcPr>
          <w:p>
            <w:pPr>
              <w:spacing w:after="0" w:line="252" w:lineRule="auto"/>
              <w:jc w:val="center"/>
            </w:pPr>
            <w:r>
              <w:rPr>
                <w:rFonts w:ascii="Calibri" w:hAnsi="Calibri" w:eastAsia="Calibri"/>
                <w:b/>
                <w:color w:val="0B2545"/>
                <w:sz w:val="18"/>
              </w:rPr>
              <w:t>Layer</w:t>
            </w:r>
          </w:p>
        </w:tc>
        <w:tc>
          <w:tcPr>
            <w:tcW w:type="dxa" w:w="2200"/>
            <w:shd w:fill="E8EEF5"/>
            <w:vAlign w:val="center"/>
            <w:tcMar>
              <w:top w:w="80" w:type="dxa"/>
              <w:start w:w="120" w:type="dxa"/>
              <w:bottom w:w="80" w:type="dxa"/>
              <w:end w:w="120" w:type="dxa"/>
            </w:tcMar>
          </w:tcPr>
          <w:p>
            <w:pPr>
              <w:spacing w:after="0" w:line="252" w:lineRule="auto"/>
              <w:jc w:val="center"/>
            </w:pPr>
            <w:r>
              <w:rPr>
                <w:rFonts w:ascii="Calibri" w:hAnsi="Calibri" w:eastAsia="Calibri"/>
                <w:b/>
                <w:color w:val="0B2545"/>
                <w:sz w:val="18"/>
              </w:rPr>
              <w:t>Name</w:t>
            </w:r>
          </w:p>
        </w:tc>
        <w:tc>
          <w:tcPr>
            <w:tcW w:type="dxa" w:w="5460"/>
            <w:shd w:fill="E8EEF5"/>
            <w:vAlign w:val="center"/>
            <w:tcMar>
              <w:top w:w="80" w:type="dxa"/>
              <w:start w:w="120" w:type="dxa"/>
              <w:bottom w:w="80" w:type="dxa"/>
              <w:end w:w="120" w:type="dxa"/>
            </w:tcMar>
          </w:tcPr>
          <w:p>
            <w:pPr>
              <w:spacing w:after="0" w:line="252" w:lineRule="auto"/>
              <w:jc w:val="center"/>
            </w:pPr>
            <w:r>
              <w:rPr>
                <w:rFonts w:ascii="Calibri" w:hAnsi="Calibri" w:eastAsia="Calibri"/>
                <w:b/>
                <w:color w:val="0B2545"/>
                <w:sz w:val="18"/>
              </w:rPr>
              <w:t>Meaning</w:t>
            </w:r>
          </w:p>
        </w:tc>
      </w:tr>
      <w:tr>
        <w:trPr>
          <w:cantSplit/>
        </w:trPr>
        <w:tc>
          <w:tcPr>
            <w:tcW w:type="dxa" w:w="1700"/>
            <w:vAlign w:val="center"/>
            <w:tcMar>
              <w:top w:w="80" w:type="dxa"/>
              <w:start w:w="120" w:type="dxa"/>
              <w:bottom w:w="80" w:type="dxa"/>
              <w:end w:w="120" w:type="dxa"/>
            </w:tcMar>
          </w:tcPr>
          <w:p>
            <w:pPr>
              <w:spacing w:after="0" w:line="259" w:lineRule="auto"/>
              <w:jc w:val="left"/>
            </w:pPr>
            <w:r>
              <w:rPr>
                <w:rFonts w:ascii="Calibri" w:hAnsi="Calibri" w:eastAsia="Calibri"/>
                <w:b/>
                <w:color w:val="111827"/>
                <w:sz w:val="18"/>
              </w:rPr>
              <w:t>Product / module</w:t>
            </w:r>
          </w:p>
        </w:tc>
        <w:tc>
          <w:tcPr>
            <w:tcW w:type="dxa" w:w="22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8"/>
              </w:rPr>
              <w:t>Apollo AgriGuard</w:t>
            </w:r>
          </w:p>
        </w:tc>
        <w:tc>
          <w:tcPr>
            <w:tcW w:type="dxa" w:w="54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8"/>
              </w:rPr>
              <w:t>Precision Crop Intelligence &amp; Protection System</w:t>
            </w:r>
          </w:p>
        </w:tc>
      </w:tr>
      <w:tr>
        <w:trPr>
          <w:cantSplit/>
        </w:trPr>
        <w:tc>
          <w:tcPr>
            <w:tcW w:type="dxa" w:w="1700"/>
            <w:vAlign w:val="center"/>
            <w:tcMar>
              <w:top w:w="80" w:type="dxa"/>
              <w:start w:w="120" w:type="dxa"/>
              <w:bottom w:w="80" w:type="dxa"/>
              <w:end w:w="120" w:type="dxa"/>
            </w:tcMar>
          </w:tcPr>
          <w:p>
            <w:pPr>
              <w:spacing w:after="0" w:line="259" w:lineRule="auto"/>
              <w:jc w:val="left"/>
            </w:pPr>
            <w:r>
              <w:rPr>
                <w:rFonts w:ascii="Calibri" w:hAnsi="Calibri" w:eastAsia="Calibri"/>
                <w:b/>
                <w:color w:val="111827"/>
                <w:sz w:val="18"/>
              </w:rPr>
              <w:t>Core engine</w:t>
            </w:r>
          </w:p>
        </w:tc>
        <w:tc>
          <w:tcPr>
            <w:tcW w:type="dxa" w:w="22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8"/>
              </w:rPr>
              <w:t>Apollo Soil360</w:t>
            </w:r>
          </w:p>
        </w:tc>
        <w:tc>
          <w:tcPr>
            <w:tcW w:type="dxa" w:w="54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8"/>
              </w:rPr>
              <w:t>Soil-first whole-farm digital twin, prediction and decision engine</w:t>
            </w:r>
          </w:p>
        </w:tc>
      </w:tr>
      <w:tr>
        <w:trPr>
          <w:cantSplit/>
        </w:trPr>
        <w:tc>
          <w:tcPr>
            <w:tcW w:type="dxa" w:w="1700"/>
            <w:vAlign w:val="center"/>
            <w:tcMar>
              <w:top w:w="80" w:type="dxa"/>
              <w:start w:w="120" w:type="dxa"/>
              <w:bottom w:w="80" w:type="dxa"/>
              <w:end w:w="120" w:type="dxa"/>
            </w:tcMar>
          </w:tcPr>
          <w:p>
            <w:pPr>
              <w:spacing w:after="0" w:line="259" w:lineRule="auto"/>
              <w:jc w:val="left"/>
            </w:pPr>
            <w:r>
              <w:rPr>
                <w:rFonts w:ascii="Calibri" w:hAnsi="Calibri" w:eastAsia="Calibri"/>
                <w:b/>
                <w:color w:val="111827"/>
                <w:sz w:val="18"/>
              </w:rPr>
              <w:t>Academic identity</w:t>
            </w:r>
          </w:p>
        </w:tc>
        <w:tc>
          <w:tcPr>
            <w:tcW w:type="dxa" w:w="22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8"/>
              </w:rPr>
              <w:t>APOLLO-SOIL360</w:t>
            </w:r>
          </w:p>
        </w:tc>
        <w:tc>
          <w:tcPr>
            <w:tcW w:type="dxa" w:w="54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8"/>
              </w:rPr>
              <w:t>A multiscale physics-informed soil-crop digital twin for intelligent soil development, 100-hour risk forecasting and precision farm operations</w:t>
            </w:r>
          </w:p>
        </w:tc>
      </w:tr>
      <w:tr>
        <w:trPr>
          <w:cantSplit/>
        </w:trPr>
        <w:tc>
          <w:tcPr>
            <w:tcW w:type="dxa" w:w="1700"/>
            <w:vAlign w:val="center"/>
            <w:tcMar>
              <w:top w:w="80" w:type="dxa"/>
              <w:start w:w="120" w:type="dxa"/>
              <w:bottom w:w="80" w:type="dxa"/>
              <w:end w:w="120" w:type="dxa"/>
            </w:tcMar>
          </w:tcPr>
          <w:p>
            <w:pPr>
              <w:spacing w:after="0" w:line="259" w:lineRule="auto"/>
              <w:jc w:val="left"/>
            </w:pPr>
            <w:r>
              <w:rPr>
                <w:rFonts w:ascii="Calibri" w:hAnsi="Calibri" w:eastAsia="Calibri"/>
                <w:b/>
                <w:color w:val="111827"/>
                <w:sz w:val="18"/>
              </w:rPr>
              <w:t>Robotics interface</w:t>
            </w:r>
          </w:p>
        </w:tc>
        <w:tc>
          <w:tcPr>
            <w:tcW w:type="dxa" w:w="22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8"/>
              </w:rPr>
              <w:t>AgriGuard MissionBridge</w:t>
            </w:r>
          </w:p>
        </w:tc>
        <w:tc>
          <w:tcPr>
            <w:tcW w:type="dxa" w:w="54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8"/>
              </w:rPr>
              <w:t>Optional adapter that translates approved farm tasks into versioned RoboLink mission requests</w:t>
            </w:r>
          </w:p>
        </w:tc>
      </w:tr>
    </w:tbl>
    <w:p>
      <w:pPr>
        <w:keepNext w:val="0"/>
        <w:spacing w:before="0" w:after="40" w:line="300" w:lineRule="auto"/>
        <w:jc w:val="left"/>
      </w:pPr>
      <w:r>
        <w:rPr>
          <w:rFonts w:ascii="Calibri" w:hAnsi="Calibri" w:eastAsia="Calibri"/>
          <w:b w:val="0"/>
          <w:i w:val="0"/>
          <w:color w:val="111827"/>
          <w:sz w:val="22"/>
        </w:rPr>
      </w:r>
    </w:p>
    <w:p>
      <w:pPr>
        <w:pStyle w:val="Heading2"/>
      </w:pPr>
      <w:r>
        <w:t>1.1 North-star outcome</w:t>
      </w:r>
    </w:p>
    <w:p>
      <w:pPr>
        <w:keepNext w:val="0"/>
        <w:spacing w:before="0" w:after="120" w:line="300" w:lineRule="auto"/>
        <w:jc w:val="left"/>
      </w:pPr>
      <w:r>
        <w:rPr>
          <w:rFonts w:ascii="Calibri" w:hAnsi="Calibri" w:eastAsia="Calibri"/>
          <w:b w:val="0"/>
          <w:i w:val="0"/>
          <w:color w:val="111827"/>
          <w:sz w:val="22"/>
        </w:rPr>
        <w:t>At any time, the user should be able to open a farm, field, plot or representative plant record and answer: What is its current state? How did it reach this state? What is likely to happen in the next 100 hours and by harvest? What action is recommended? What evidence and uncertainty support that recommendation? What actually happened after the action?</w:t>
      </w:r>
    </w:p>
    <w:p>
      <w:pPr>
        <w:pStyle w:val="Heading2"/>
      </w:pPr>
      <w:r>
        <w:t>1.2 Apollo AgriVerse portfolio position</w:t>
      </w:r>
    </w:p>
    <w:p>
      <w:pPr>
        <w:spacing w:before="120" w:after="80"/>
        <w:jc w:val="center"/>
      </w:pPr>
      <w:r>
        <w:drawing>
          <wp:inline xmlns:a="http://schemas.openxmlformats.org/drawingml/2006/main" xmlns:pic="http://schemas.openxmlformats.org/drawingml/2006/picture">
            <wp:extent cx="5715000" cy="3479979"/>
            <wp:docPr id="1" name="Picture 1" descr="Apollo AgriVerse contains three peer modules: Apollo AgriGuard, Apollo PashuSense and Apollo RoboLink. Each connects through versioned contracts while remaining complete independently."/>
            <wp:cNvGraphicFramePr>
              <a:graphicFrameLocks noChangeAspect="1"/>
            </wp:cNvGraphicFramePr>
            <a:graphic>
              <a:graphicData uri="http://schemas.openxmlformats.org/drawingml/2006/picture">
                <pic:pic>
                  <pic:nvPicPr>
                    <pic:cNvPr id="0" name="apollo_agriverse_module_architecture.png"/>
                    <pic:cNvPicPr/>
                  </pic:nvPicPr>
                  <pic:blipFill>
                    <a:blip r:embed="rId11"/>
                    <a:stretch>
                      <a:fillRect/>
                    </a:stretch>
                  </pic:blipFill>
                  <pic:spPr>
                    <a:xfrm>
                      <a:off x="0" y="0"/>
                      <a:ext cx="5715000" cy="3479979"/>
                    </a:xfrm>
                    <a:prstGeom prst="rect"/>
                  </pic:spPr>
                </pic:pic>
              </a:graphicData>
            </a:graphic>
          </wp:inline>
        </w:drawing>
      </w:r>
    </w:p>
    <w:p>
      <w:pPr>
        <w:keepNext w:val="0"/>
        <w:spacing w:before="0" w:after="160" w:line="300" w:lineRule="auto"/>
        <w:jc w:val="center"/>
      </w:pPr>
      <w:r>
        <w:rPr>
          <w:rFonts w:ascii="Calibri" w:hAnsi="Calibri" w:eastAsia="Calibri"/>
          <w:b w:val="0"/>
          <w:i/>
          <w:color w:val="667085"/>
          <w:sz w:val="18"/>
        </w:rPr>
        <w:t>Figure 1. Apollo AgriVerse module architecture.</w:t>
      </w:r>
    </w:p>
    <w:tbl>
      <w:tblPr>
        <w:tblStyle w:val="TableGrid"/>
        <w:tblW w:type="dxa" w:w="9360"/>
        <w:jc w:val="left"/>
        <w:tblLayout w:type="fixed"/>
        <w:tblLook w:firstColumn="1" w:firstRow="1" w:lastColumn="0" w:lastRow="0" w:noHBand="0" w:noVBand="1" w:val="04A0"/>
        <w:tblInd w:w="120" w:type="dxa"/>
      </w:tblPr>
      <w:tblGrid>
        <w:gridCol w:w="2100"/>
        <w:gridCol w:w="3700"/>
        <w:gridCol w:w="3560"/>
      </w:tblGrid>
      <w:tr>
        <w:trPr>
          <w:tblHeader w:val="true"/>
          <w:cantSplit/>
        </w:trPr>
        <w:tc>
          <w:tcPr>
            <w:tcW w:type="dxa" w:w="2100"/>
            <w:shd w:fill="E8EEF5"/>
            <w:vAlign w:val="center"/>
            <w:tcMar>
              <w:top w:w="80" w:type="dxa"/>
              <w:start w:w="120" w:type="dxa"/>
              <w:bottom w:w="80" w:type="dxa"/>
              <w:end w:w="120" w:type="dxa"/>
            </w:tcMar>
          </w:tcPr>
          <w:p>
            <w:pPr>
              <w:spacing w:after="0" w:line="252" w:lineRule="auto"/>
              <w:jc w:val="center"/>
            </w:pPr>
            <w:r>
              <w:rPr>
                <w:rFonts w:ascii="Calibri" w:hAnsi="Calibri" w:eastAsia="Calibri"/>
                <w:b/>
                <w:color w:val="0B2545"/>
                <w:sz w:val="17"/>
              </w:rPr>
              <w:t>Module</w:t>
            </w:r>
          </w:p>
        </w:tc>
        <w:tc>
          <w:tcPr>
            <w:tcW w:type="dxa" w:w="3700"/>
            <w:shd w:fill="E8EEF5"/>
            <w:vAlign w:val="center"/>
            <w:tcMar>
              <w:top w:w="80" w:type="dxa"/>
              <w:start w:w="120" w:type="dxa"/>
              <w:bottom w:w="80" w:type="dxa"/>
              <w:end w:w="120" w:type="dxa"/>
            </w:tcMar>
          </w:tcPr>
          <w:p>
            <w:pPr>
              <w:spacing w:after="0" w:line="252" w:lineRule="auto"/>
              <w:jc w:val="center"/>
            </w:pPr>
            <w:r>
              <w:rPr>
                <w:rFonts w:ascii="Calibri" w:hAnsi="Calibri" w:eastAsia="Calibri"/>
                <w:b/>
                <w:color w:val="0B2545"/>
                <w:sz w:val="17"/>
              </w:rPr>
              <w:t>Owns</w:t>
            </w:r>
          </w:p>
        </w:tc>
        <w:tc>
          <w:tcPr>
            <w:tcW w:type="dxa" w:w="3560"/>
            <w:shd w:fill="E8EEF5"/>
            <w:vAlign w:val="center"/>
            <w:tcMar>
              <w:top w:w="80" w:type="dxa"/>
              <w:start w:w="120" w:type="dxa"/>
              <w:bottom w:w="80" w:type="dxa"/>
              <w:end w:w="120" w:type="dxa"/>
            </w:tcMar>
          </w:tcPr>
          <w:p>
            <w:pPr>
              <w:spacing w:after="0" w:line="252" w:lineRule="auto"/>
              <w:jc w:val="center"/>
            </w:pPr>
            <w:r>
              <w:rPr>
                <w:rFonts w:ascii="Calibri" w:hAnsi="Calibri" w:eastAsia="Calibri"/>
                <w:b/>
                <w:color w:val="0B2545"/>
                <w:sz w:val="17"/>
              </w:rPr>
              <w:t>Does not own</w:t>
            </w:r>
          </w:p>
        </w:tc>
      </w:tr>
      <w:tr>
        <w:trPr>
          <w:cantSplit/>
        </w:trPr>
        <w:tc>
          <w:tcPr>
            <w:tcW w:type="dxa" w:w="21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Apollo AgriGuard</w:t>
            </w:r>
          </w:p>
        </w:tc>
        <w:tc>
          <w:tcPr>
            <w:tcW w:type="dxa" w:w="37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Soil, crop, weather, irrigation, field operations, predictions, alerts and intervention plans</w:t>
            </w:r>
          </w:p>
        </w:tc>
        <w:tc>
          <w:tcPr>
            <w:tcW w:type="dxa" w:w="35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Livestock intelligence; robot navigation and motor/payload control</w:t>
            </w:r>
          </w:p>
        </w:tc>
      </w:tr>
      <w:tr>
        <w:trPr>
          <w:cantSplit/>
        </w:trPr>
        <w:tc>
          <w:tcPr>
            <w:tcW w:type="dxa" w:w="21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Apollo PashuSense</w:t>
            </w:r>
          </w:p>
        </w:tc>
        <w:tc>
          <w:tcPr>
            <w:tcW w:type="dxa" w:w="37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Animal/flock identity, behaviour, health-risk, feed and production intelligence</w:t>
            </w:r>
          </w:p>
        </w:tc>
        <w:tc>
          <w:tcPr>
            <w:tcW w:type="dxa" w:w="35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Crop/soil models; robot navigation</w:t>
            </w:r>
          </w:p>
        </w:tc>
      </w:tr>
      <w:tr>
        <w:trPr>
          <w:cantSplit/>
        </w:trPr>
        <w:tc>
          <w:tcPr>
            <w:tcW w:type="dxa" w:w="21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Apollo RoboLink</w:t>
            </w:r>
          </w:p>
        </w:tc>
        <w:tc>
          <w:tcPr>
            <w:tcW w:type="dxa" w:w="37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ROS2 navigation, perception, mission execution, safety, telemetry and payload drivers</w:t>
            </w:r>
          </w:p>
        </w:tc>
        <w:tc>
          <w:tcPr>
            <w:tcW w:type="dxa" w:w="35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Farm-domain forecasting or authoritative farm records</w:t>
            </w:r>
          </w:p>
        </w:tc>
      </w:tr>
    </w:tbl>
    <w:p>
      <w:pPr>
        <w:keepNext w:val="0"/>
        <w:spacing w:before="0" w:after="40" w:line="300" w:lineRule="auto"/>
        <w:jc w:val="left"/>
      </w:pPr>
      <w:r>
        <w:rPr>
          <w:rFonts w:ascii="Calibri" w:hAnsi="Calibri" w:eastAsia="Calibri"/>
          <w:b w:val="0"/>
          <w:i w:val="0"/>
          <w:color w:val="111827"/>
          <w:sz w:val="22"/>
        </w:rPr>
      </w:r>
    </w:p>
    <w:p>
      <w:pPr>
        <w:pStyle w:val="Heading1"/>
      </w:pPr>
      <w:r>
        <w:t>2. Project charter, outcomes and boundaries</w:t>
      </w:r>
    </w:p>
    <w:p>
      <w:pPr>
        <w:pStyle w:val="Heading2"/>
      </w:pPr>
      <w:r>
        <w:t>2.1 Mission</w:t>
      </w:r>
    </w:p>
    <w:p>
      <w:pPr>
        <w:keepNext w:val="0"/>
        <w:spacing w:before="0" w:after="120" w:line="300" w:lineRule="auto"/>
        <w:jc w:val="left"/>
      </w:pPr>
      <w:r>
        <w:rPr>
          <w:rFonts w:ascii="Calibri" w:hAnsi="Calibri" w:eastAsia="Calibri"/>
          <w:b w:val="0"/>
          <w:i w:val="0"/>
          <w:color w:val="111827"/>
          <w:sz w:val="22"/>
        </w:rPr>
        <w:t>Build a low-cost, explainable and India-adaptable precision-agriculture platform that develops a continuously updated digital representation of soil and crop systems, predicts plot- and plant-scale behaviour, and converts evidence into timely, safe and measurable farm actions.</w:t>
      </w:r>
    </w:p>
    <w:p>
      <w:pPr>
        <w:pStyle w:val="Heading2"/>
      </w:pPr>
      <w:r>
        <w:t>2.2 Primary objectives</w:t>
      </w:r>
    </w:p>
    <w:p>
      <w:pPr>
        <w:numPr>
          <w:ilvl w:val="0"/>
          <w:numId w:val="12"/>
        </w:numPr>
        <w:spacing w:after="80" w:line="300" w:lineRule="auto"/>
      </w:pPr>
      <w:r>
        <w:rPr>
          <w:rFonts w:ascii="Calibri" w:hAnsi="Calibri" w:eastAsia="Calibri"/>
          <w:color w:val="111827"/>
          <w:sz w:val="22"/>
        </w:rPr>
        <w:t>Map terrain, drainage, soil variability and management zones before cultivation begins.</w:t>
      </w:r>
    </w:p>
    <w:p>
      <w:pPr>
        <w:numPr>
          <w:ilvl w:val="0"/>
          <w:numId w:val="12"/>
        </w:numPr>
        <w:spacing w:after="80" w:line="300" w:lineRule="auto"/>
      </w:pPr>
      <w:r>
        <w:rPr>
          <w:rFonts w:ascii="Calibri" w:hAnsi="Calibri" w:eastAsia="Calibri"/>
          <w:color w:val="111827"/>
          <w:sz w:val="22"/>
        </w:rPr>
        <w:t>Measure and model soil physical, chemical and management state, including approved mulch, hydrogel and amendment treatments.</w:t>
      </w:r>
    </w:p>
    <w:p>
      <w:pPr>
        <w:numPr>
          <w:ilvl w:val="0"/>
          <w:numId w:val="12"/>
        </w:numPr>
        <w:spacing w:after="80" w:line="300" w:lineRule="auto"/>
      </w:pPr>
      <w:r>
        <w:rPr>
          <w:rFonts w:ascii="Calibri" w:hAnsi="Calibri" w:eastAsia="Calibri"/>
          <w:color w:val="111827"/>
          <w:sz w:val="22"/>
        </w:rPr>
        <w:t>Create farm, field, plot/zone and representative plant/row twins with complete event and task history.</w:t>
      </w:r>
    </w:p>
    <w:p>
      <w:pPr>
        <w:numPr>
          <w:ilvl w:val="0"/>
          <w:numId w:val="12"/>
        </w:numPr>
        <w:spacing w:after="80" w:line="300" w:lineRule="auto"/>
      </w:pPr>
      <w:r>
        <w:rPr>
          <w:rFonts w:ascii="Calibri" w:hAnsi="Calibri" w:eastAsia="Calibri"/>
          <w:color w:val="111827"/>
          <w:sz w:val="22"/>
        </w:rPr>
        <w:t>Fuse IoT, laboratory, camera, satellite, weather and field-operation data into quality-controlled time series.</w:t>
      </w:r>
    </w:p>
    <w:p>
      <w:pPr>
        <w:numPr>
          <w:ilvl w:val="0"/>
          <w:numId w:val="12"/>
        </w:numPr>
        <w:spacing w:after="80" w:line="300" w:lineRule="auto"/>
      </w:pPr>
      <w:r>
        <w:rPr>
          <w:rFonts w:ascii="Calibri" w:hAnsi="Calibri" w:eastAsia="Calibri"/>
          <w:color w:val="111827"/>
          <w:sz w:val="22"/>
        </w:rPr>
        <w:t>Forecast soil moisture, crop stress, disease/pest risk, phenology, yield and harvest readiness with uncertainty.</w:t>
      </w:r>
    </w:p>
    <w:p>
      <w:pPr>
        <w:numPr>
          <w:ilvl w:val="0"/>
          <w:numId w:val="12"/>
        </w:numPr>
        <w:spacing w:after="80" w:line="300" w:lineRule="auto"/>
      </w:pPr>
      <w:r>
        <w:rPr>
          <w:rFonts w:ascii="Calibri" w:hAnsi="Calibri" w:eastAsia="Calibri"/>
          <w:color w:val="111827"/>
          <w:sz w:val="22"/>
        </w:rPr>
        <w:t>Operate a rolling 100-hour early-warning and resource-planning window.</w:t>
      </w:r>
    </w:p>
    <w:p>
      <w:pPr>
        <w:numPr>
          <w:ilvl w:val="0"/>
          <w:numId w:val="12"/>
        </w:numPr>
        <w:spacing w:after="80" w:line="300" w:lineRule="auto"/>
      </w:pPr>
      <w:r>
        <w:rPr>
          <w:rFonts w:ascii="Calibri" w:hAnsi="Calibri" w:eastAsia="Calibri"/>
          <w:color w:val="111827"/>
          <w:sz w:val="22"/>
        </w:rPr>
        <w:t>Recommend irrigation, inspection, crop protection, soil operations and harvest actions with explanations and approval rules.</w:t>
      </w:r>
    </w:p>
    <w:p>
      <w:pPr>
        <w:numPr>
          <w:ilvl w:val="0"/>
          <w:numId w:val="12"/>
        </w:numPr>
        <w:spacing w:after="80" w:line="300" w:lineRule="auto"/>
      </w:pPr>
      <w:r>
        <w:rPr>
          <w:rFonts w:ascii="Calibri" w:hAnsi="Calibri" w:eastAsia="Calibri"/>
          <w:color w:val="111827"/>
          <w:sz w:val="22"/>
        </w:rPr>
        <w:t>Expose approved missions through a stable ROS2 docking interface without depending on a physical robot.</w:t>
      </w:r>
    </w:p>
    <w:p>
      <w:pPr>
        <w:numPr>
          <w:ilvl w:val="0"/>
          <w:numId w:val="12"/>
        </w:numPr>
        <w:spacing w:after="80" w:line="300" w:lineRule="auto"/>
      </w:pPr>
      <w:r>
        <w:rPr>
          <w:rFonts w:ascii="Calibri" w:hAnsi="Calibri" w:eastAsia="Calibri"/>
          <w:color w:val="111827"/>
          <w:sz w:val="22"/>
        </w:rPr>
        <w:t>Create a publishable Indian farm dataset for soil-treatment, crop-behaviour and intervention-response research.</w:t>
      </w:r>
    </w:p>
    <w:p>
      <w:pPr>
        <w:pStyle w:val="Heading2"/>
      </w:pPr>
      <w:r>
        <w:t>2.3 In scope</w:t>
      </w:r>
    </w:p>
    <w:p>
      <w:pPr>
        <w:numPr>
          <w:ilvl w:val="0"/>
          <w:numId w:val="10"/>
        </w:numPr>
        <w:spacing w:after="80" w:line="300" w:lineRule="auto"/>
      </w:pPr>
      <w:r>
        <w:rPr>
          <w:rFonts w:ascii="Calibri" w:hAnsi="Calibri" w:eastAsia="Calibri"/>
          <w:color w:val="111827"/>
          <w:sz w:val="22"/>
        </w:rPr>
        <w:t>Open-field annual crops as the first implementation target; architecture also supports orchards and protected cultivation through crop packs.</w:t>
      </w:r>
    </w:p>
    <w:p>
      <w:pPr>
        <w:numPr>
          <w:ilvl w:val="0"/>
          <w:numId w:val="10"/>
        </w:numPr>
        <w:spacing w:after="80" w:line="300" w:lineRule="auto"/>
      </w:pPr>
      <w:r>
        <w:rPr>
          <w:rFonts w:ascii="Calibri" w:hAnsi="Calibri" w:eastAsia="Calibri"/>
          <w:color w:val="111827"/>
          <w:sz w:val="22"/>
        </w:rPr>
        <w:t>Terrain survey, sampling design, soil baseline, amendments, sowing, establishment, growth, protection, harvest and post-harvest recovery.</w:t>
      </w:r>
    </w:p>
    <w:p>
      <w:pPr>
        <w:numPr>
          <w:ilvl w:val="0"/>
          <w:numId w:val="10"/>
        </w:numPr>
        <w:spacing w:after="80" w:line="300" w:lineRule="auto"/>
      </w:pPr>
      <w:r>
        <w:rPr>
          <w:rFonts w:ascii="Calibri" w:hAnsi="Calibri" w:eastAsia="Calibri"/>
          <w:color w:val="111827"/>
          <w:sz w:val="22"/>
        </w:rPr>
        <w:t>RGB-first computer vision; satellite, thermal, multispectral and drone inputs as optional tiers.</w:t>
      </w:r>
    </w:p>
    <w:p>
      <w:pPr>
        <w:numPr>
          <w:ilvl w:val="0"/>
          <w:numId w:val="10"/>
        </w:numPr>
        <w:spacing w:after="80" w:line="300" w:lineRule="auto"/>
      </w:pPr>
      <w:r>
        <w:rPr>
          <w:rFonts w:ascii="Calibri" w:hAnsi="Calibri" w:eastAsia="Calibri"/>
          <w:color w:val="111827"/>
          <w:sz w:val="22"/>
        </w:rPr>
        <w:t>Plot/management-zone intelligence for all fields; plant-level intelligence for sentinel plants, perennials, research plots or trackable plants.</w:t>
      </w:r>
    </w:p>
    <w:p>
      <w:pPr>
        <w:numPr>
          <w:ilvl w:val="0"/>
          <w:numId w:val="10"/>
        </w:numPr>
        <w:spacing w:after="80" w:line="300" w:lineRule="auto"/>
      </w:pPr>
      <w:r>
        <w:rPr>
          <w:rFonts w:ascii="Calibri" w:hAnsi="Calibri" w:eastAsia="Calibri"/>
          <w:color w:val="111827"/>
          <w:sz w:val="22"/>
        </w:rPr>
        <w:t>Manual task workflow, reports and dashboard as the complete standalone operating mode.</w:t>
      </w:r>
    </w:p>
    <w:p>
      <w:pPr>
        <w:numPr>
          <w:ilvl w:val="0"/>
          <w:numId w:val="10"/>
        </w:numPr>
        <w:spacing w:after="80" w:line="300" w:lineRule="auto"/>
      </w:pPr>
      <w:r>
        <w:rPr>
          <w:rFonts w:ascii="Calibri" w:hAnsi="Calibri" w:eastAsia="Calibri"/>
          <w:color w:val="111827"/>
          <w:sz w:val="22"/>
        </w:rPr>
        <w:t>Replayable simulation, synthetic sensors and mock mission interfaces when no field or robot is available.</w:t>
      </w:r>
    </w:p>
    <w:p>
      <w:pPr>
        <w:pStyle w:val="Heading2"/>
      </w:pPr>
      <w:r>
        <w:t>2.4 Explicitly out of scope for version 1</w:t>
      </w:r>
    </w:p>
    <w:p>
      <w:pPr>
        <w:numPr>
          <w:ilvl w:val="0"/>
          <w:numId w:val="10"/>
        </w:numPr>
        <w:spacing w:after="80" w:line="300" w:lineRule="auto"/>
      </w:pPr>
      <w:r>
        <w:rPr>
          <w:rFonts w:ascii="Calibri" w:hAnsi="Calibri" w:eastAsia="Calibri"/>
          <w:color w:val="111827"/>
          <w:sz w:val="22"/>
        </w:rPr>
        <w:t>Replacing certified soil laboratories, agronomists or statutory pesticide/fertilizer guidance.</w:t>
      </w:r>
    </w:p>
    <w:p>
      <w:pPr>
        <w:numPr>
          <w:ilvl w:val="0"/>
          <w:numId w:val="10"/>
        </w:numPr>
        <w:spacing w:after="80" w:line="300" w:lineRule="auto"/>
      </w:pPr>
      <w:r>
        <w:rPr>
          <w:rFonts w:ascii="Calibri" w:hAnsi="Calibri" w:eastAsia="Calibri"/>
          <w:color w:val="111827"/>
          <w:sz w:val="22"/>
        </w:rPr>
        <w:t>Assuming inexpensive continuous NPK or pH probes are laboratory-equivalent without crop- and soil-specific calibration.</w:t>
      </w:r>
    </w:p>
    <w:p>
      <w:pPr>
        <w:numPr>
          <w:ilvl w:val="0"/>
          <w:numId w:val="10"/>
        </w:numPr>
        <w:spacing w:after="80" w:line="300" w:lineRule="auto"/>
      </w:pPr>
      <w:r>
        <w:rPr>
          <w:rFonts w:ascii="Calibri" w:hAnsi="Calibri" w:eastAsia="Calibri"/>
          <w:color w:val="111827"/>
          <w:sz w:val="22"/>
        </w:rPr>
        <w:t>A permanent unique identity for every plant in dense annual crops; rows, stands and sampled plants are the correct unit there.</w:t>
      </w:r>
    </w:p>
    <w:p>
      <w:pPr>
        <w:numPr>
          <w:ilvl w:val="0"/>
          <w:numId w:val="10"/>
        </w:numPr>
        <w:spacing w:after="80" w:line="300" w:lineRule="auto"/>
      </w:pPr>
      <w:r>
        <w:rPr>
          <w:rFonts w:ascii="Calibri" w:hAnsi="Calibri" w:eastAsia="Calibri"/>
          <w:color w:val="111827"/>
          <w:sz w:val="22"/>
        </w:rPr>
        <w:t>Unsupervised chemical spraying, fertilizer dosing, heavy machinery or harvester deployment based only on an ML score.</w:t>
      </w:r>
    </w:p>
    <w:p>
      <w:pPr>
        <w:numPr>
          <w:ilvl w:val="0"/>
          <w:numId w:val="10"/>
        </w:numPr>
        <w:spacing w:after="80" w:line="300" w:lineRule="auto"/>
      </w:pPr>
      <w:r>
        <w:rPr>
          <w:rFonts w:ascii="Calibri" w:hAnsi="Calibri" w:eastAsia="Calibri"/>
          <w:color w:val="111827"/>
          <w:sz w:val="22"/>
        </w:rPr>
        <w:t>Robot navigation, mapping, collision avoidance, actuator control or emergency-stop logic.</w:t>
      </w:r>
    </w:p>
    <w:p>
      <w:pPr>
        <w:numPr>
          <w:ilvl w:val="0"/>
          <w:numId w:val="10"/>
        </w:numPr>
        <w:spacing w:after="80" w:line="300" w:lineRule="auto"/>
      </w:pPr>
      <w:r>
        <w:rPr>
          <w:rFonts w:ascii="Calibri" w:hAnsi="Calibri" w:eastAsia="Calibri"/>
          <w:color w:val="111827"/>
          <w:sz w:val="22"/>
        </w:rPr>
        <w:t>Universal accuracy claims across crops, farms and seasons before external field validation.</w:t>
      </w:r>
    </w:p>
    <w:p>
      <w:pPr>
        <w:pStyle w:val="Heading1"/>
      </w:pPr>
      <w:r>
        <w:t>3. Whole-farm life-cycle and digital-twin doctrine</w:t>
      </w:r>
    </w:p>
    <w:p>
      <w:pPr>
        <w:spacing w:before="120" w:after="80"/>
        <w:jc w:val="center"/>
      </w:pPr>
      <w:r>
        <w:drawing>
          <wp:inline xmlns:a="http://schemas.openxmlformats.org/drawingml/2006/main" xmlns:pic="http://schemas.openxmlformats.org/drawingml/2006/picture">
            <wp:extent cx="5715000" cy="4097894"/>
            <wp:docPr id="2" name="Picture 2" descr="Eight linked stages run from survey and terrain preparation through post-harvest soil recovery. Soil360 preserves evidence and outcomes across seasons."/>
            <wp:cNvGraphicFramePr>
              <a:graphicFrameLocks noChangeAspect="1"/>
            </wp:cNvGraphicFramePr>
            <a:graphic>
              <a:graphicData uri="http://schemas.openxmlformats.org/drawingml/2006/picture">
                <pic:pic>
                  <pic:nvPicPr>
                    <pic:cNvPr id="0" name="agriguard_farm_lifecycle.png"/>
                    <pic:cNvPicPr/>
                  </pic:nvPicPr>
                  <pic:blipFill>
                    <a:blip r:embed="rId12"/>
                    <a:stretch>
                      <a:fillRect/>
                    </a:stretch>
                  </pic:blipFill>
                  <pic:spPr>
                    <a:xfrm>
                      <a:off x="0" y="0"/>
                      <a:ext cx="5715000" cy="4097894"/>
                    </a:xfrm>
                    <a:prstGeom prst="rect"/>
                  </pic:spPr>
                </pic:pic>
              </a:graphicData>
            </a:graphic>
          </wp:inline>
        </w:drawing>
      </w:r>
    </w:p>
    <w:p>
      <w:pPr>
        <w:keepNext w:val="0"/>
        <w:spacing w:before="0" w:after="160" w:line="300" w:lineRule="auto"/>
        <w:jc w:val="center"/>
      </w:pPr>
      <w:r>
        <w:rPr>
          <w:rFonts w:ascii="Calibri" w:hAnsi="Calibri" w:eastAsia="Calibri"/>
          <w:b w:val="0"/>
          <w:i/>
          <w:color w:val="667085"/>
          <w:sz w:val="18"/>
        </w:rPr>
        <w:t>Figure 2. Full farm life-cycle owned by Apollo AgriGuard.</w:t>
      </w:r>
    </w:p>
    <w:p>
      <w:pPr>
        <w:pStyle w:val="Heading2"/>
      </w:pPr>
      <w:r>
        <w:t>3.1 Life-cycle stages and outputs</w:t>
      </w:r>
    </w:p>
    <w:tbl>
      <w:tblPr>
        <w:tblStyle w:val="TableGrid"/>
        <w:tblW w:type="dxa" w:w="9360"/>
        <w:jc w:val="left"/>
        <w:tblLayout w:type="fixed"/>
        <w:tblLook w:firstColumn="1" w:firstRow="1" w:lastColumn="0" w:lastRow="0" w:noHBand="0" w:noVBand="1" w:val="04A0"/>
        <w:tblInd w:w="120" w:type="dxa"/>
      </w:tblPr>
      <w:tblGrid>
        <w:gridCol w:w="1300"/>
        <w:gridCol w:w="4100"/>
        <w:gridCol w:w="3960"/>
      </w:tblGrid>
      <w:tr>
        <w:trPr>
          <w:tblHeader w:val="true"/>
          <w:cantSplit/>
        </w:trPr>
        <w:tc>
          <w:tcPr>
            <w:tcW w:type="dxa" w:w="1300"/>
            <w:shd w:fill="E8EEF5"/>
            <w:vAlign w:val="center"/>
            <w:tcMar>
              <w:top w:w="80" w:type="dxa"/>
              <w:start w:w="120" w:type="dxa"/>
              <w:bottom w:w="80" w:type="dxa"/>
              <w:end w:w="120" w:type="dxa"/>
            </w:tcMar>
          </w:tcPr>
          <w:p>
            <w:pPr>
              <w:spacing w:after="0" w:line="252" w:lineRule="auto"/>
              <w:jc w:val="center"/>
            </w:pPr>
            <w:r>
              <w:rPr>
                <w:rFonts w:ascii="Calibri" w:hAnsi="Calibri" w:eastAsia="Calibri"/>
                <w:b/>
                <w:color w:val="0B2545"/>
                <w:sz w:val="16"/>
              </w:rPr>
              <w:t>Stage</w:t>
            </w:r>
          </w:p>
        </w:tc>
        <w:tc>
          <w:tcPr>
            <w:tcW w:type="dxa" w:w="4100"/>
            <w:shd w:fill="E8EEF5"/>
            <w:vAlign w:val="center"/>
            <w:tcMar>
              <w:top w:w="80" w:type="dxa"/>
              <w:start w:w="120" w:type="dxa"/>
              <w:bottom w:w="80" w:type="dxa"/>
              <w:end w:w="120" w:type="dxa"/>
            </w:tcMar>
          </w:tcPr>
          <w:p>
            <w:pPr>
              <w:spacing w:after="0" w:line="252" w:lineRule="auto"/>
              <w:jc w:val="left"/>
            </w:pPr>
            <w:r>
              <w:rPr>
                <w:rFonts w:ascii="Calibri" w:hAnsi="Calibri" w:eastAsia="Calibri"/>
                <w:b/>
                <w:color w:val="0B2545"/>
                <w:sz w:val="16"/>
              </w:rPr>
              <w:t>Required digital-twin output</w:t>
            </w:r>
          </w:p>
        </w:tc>
        <w:tc>
          <w:tcPr>
            <w:tcW w:type="dxa" w:w="3960"/>
            <w:shd w:fill="E8EEF5"/>
            <w:vAlign w:val="center"/>
            <w:tcMar>
              <w:top w:w="80" w:type="dxa"/>
              <w:start w:w="120" w:type="dxa"/>
              <w:bottom w:w="80" w:type="dxa"/>
              <w:end w:w="120" w:type="dxa"/>
            </w:tcMar>
          </w:tcPr>
          <w:p>
            <w:pPr>
              <w:spacing w:after="0" w:line="252" w:lineRule="auto"/>
              <w:jc w:val="center"/>
            </w:pPr>
            <w:r>
              <w:rPr>
                <w:rFonts w:ascii="Calibri" w:hAnsi="Calibri" w:eastAsia="Calibri"/>
                <w:b/>
                <w:color w:val="0B2545"/>
                <w:sz w:val="16"/>
              </w:rPr>
              <w:t>Decision examples</w:t>
            </w:r>
          </w:p>
        </w:tc>
      </w:tr>
      <w:tr>
        <w:trPr>
          <w:cantSplit/>
        </w:trPr>
        <w:tc>
          <w:tcPr>
            <w:tcW w:type="dxa" w:w="13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Survey</w:t>
            </w:r>
          </w:p>
        </w:tc>
        <w:tc>
          <w:tcPr>
            <w:tcW w:type="dxa" w:w="41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Farm boundary, DEM/slope, drainage, sampling grid, baseline imagery</w:t>
            </w:r>
          </w:p>
        </w:tc>
        <w:tc>
          <w:tcPr>
            <w:tcW w:type="dxa" w:w="39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Where to sample; where water may accumulate; how to divide zones</w:t>
            </w:r>
          </w:p>
        </w:tc>
      </w:tr>
      <w:tr>
        <w:trPr>
          <w:cantSplit/>
        </w:trPr>
        <w:tc>
          <w:tcPr>
            <w:tcW w:type="dxa" w:w="13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Design</w:t>
            </w:r>
          </w:p>
        </w:tc>
        <w:tc>
          <w:tcPr>
            <w:tcW w:type="dxa" w:w="41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Crop cycle, treatment plan, irrigation plan, zone assignments, targets</w:t>
            </w:r>
          </w:p>
        </w:tc>
        <w:tc>
          <w:tcPr>
            <w:tcW w:type="dxa" w:w="39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Crop/variety and experimental layout; resource budget</w:t>
            </w:r>
          </w:p>
        </w:tc>
      </w:tr>
      <w:tr>
        <w:trPr>
          <w:cantSplit/>
        </w:trPr>
        <w:tc>
          <w:tcPr>
            <w:tcW w:type="dxa" w:w="13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Prepare</w:t>
            </w:r>
          </w:p>
        </w:tc>
        <w:tc>
          <w:tcPr>
            <w:tcW w:type="dxa" w:w="41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Tillage, levelling, drainage, amendment and soil-operation events</w:t>
            </w:r>
          </w:p>
        </w:tc>
        <w:tc>
          <w:tcPr>
            <w:tcW w:type="dxa" w:w="39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Sequence and verify terrain/soil preparation</w:t>
            </w:r>
          </w:p>
        </w:tc>
      </w:tr>
      <w:tr>
        <w:trPr>
          <w:cantSplit/>
        </w:trPr>
        <w:tc>
          <w:tcPr>
            <w:tcW w:type="dxa" w:w="13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Establish</w:t>
            </w:r>
          </w:p>
        </w:tc>
        <w:tc>
          <w:tcPr>
            <w:tcW w:type="dxa" w:w="41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Sowing/transplant, mulch/hydrogel, emergence and gap records</w:t>
            </w:r>
          </w:p>
        </w:tc>
        <w:tc>
          <w:tcPr>
            <w:tcW w:type="dxa" w:w="39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Resow, inspect or correct installation/irrigation</w:t>
            </w:r>
          </w:p>
        </w:tc>
      </w:tr>
      <w:tr>
        <w:trPr>
          <w:cantSplit/>
        </w:trPr>
        <w:tc>
          <w:tcPr>
            <w:tcW w:type="dxa" w:w="13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Grow</w:t>
            </w:r>
          </w:p>
        </w:tc>
        <w:tc>
          <w:tcPr>
            <w:tcW w:type="dxa" w:w="41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Soil-water, canopy, phenology, nutrition and stress state</w:t>
            </w:r>
          </w:p>
        </w:tc>
        <w:tc>
          <w:tcPr>
            <w:tcW w:type="dxa" w:w="39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Irrigate, inspect, sample or adjust approved plan</w:t>
            </w:r>
          </w:p>
        </w:tc>
      </w:tr>
      <w:tr>
        <w:trPr>
          <w:cantSplit/>
        </w:trPr>
        <w:tc>
          <w:tcPr>
            <w:tcW w:type="dxa" w:w="13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Protect</w:t>
            </w:r>
          </w:p>
        </w:tc>
        <w:tc>
          <w:tcPr>
            <w:tcW w:type="dxa" w:w="41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Disease/pest/weed risk, alerts, evidence and completed action</w:t>
            </w:r>
          </w:p>
        </w:tc>
        <w:tc>
          <w:tcPr>
            <w:tcW w:type="dxa" w:w="39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Prioritize scouting; request permitted intervention</w:t>
            </w:r>
          </w:p>
        </w:tc>
      </w:tr>
      <w:tr>
        <w:trPr>
          <w:cantSplit/>
        </w:trPr>
        <w:tc>
          <w:tcPr>
            <w:tcW w:type="dxa" w:w="13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Harvest</w:t>
            </w:r>
          </w:p>
        </w:tc>
        <w:tc>
          <w:tcPr>
            <w:tcW w:type="dxa" w:w="41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Readiness, weather exposure, yield/quality forecast, task plan</w:t>
            </w:r>
          </w:p>
        </w:tc>
        <w:tc>
          <w:tcPr>
            <w:tcW w:type="dxa" w:w="39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Choose zone order, labour/equipment window and logistics</w:t>
            </w:r>
          </w:p>
        </w:tc>
      </w:tr>
      <w:tr>
        <w:trPr>
          <w:cantSplit/>
        </w:trPr>
        <w:tc>
          <w:tcPr>
            <w:tcW w:type="dxa" w:w="13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Recover</w:t>
            </w:r>
          </w:p>
        </w:tc>
        <w:tc>
          <w:tcPr>
            <w:tcW w:type="dxa" w:w="41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Actual yield, residue, post-season soil test and lessons</w:t>
            </w:r>
          </w:p>
        </w:tc>
        <w:tc>
          <w:tcPr>
            <w:tcW w:type="dxa" w:w="39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Measure treatment effect and design next season</w:t>
            </w:r>
          </w:p>
        </w:tc>
      </w:tr>
    </w:tbl>
    <w:p>
      <w:pPr>
        <w:keepNext w:val="0"/>
        <w:spacing w:before="0" w:after="40" w:line="300" w:lineRule="auto"/>
        <w:jc w:val="left"/>
      </w:pPr>
      <w:r>
        <w:rPr>
          <w:rFonts w:ascii="Calibri" w:hAnsi="Calibri" w:eastAsia="Calibri"/>
          <w:b w:val="0"/>
          <w:i w:val="0"/>
          <w:color w:val="111827"/>
          <w:sz w:val="22"/>
        </w:rPr>
      </w:r>
    </w:p>
    <w:p>
      <w:pPr>
        <w:pStyle w:val="Heading2"/>
      </w:pPr>
      <w:r>
        <w:t>3.2 What the digital twin is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E8EEF5"/>
            <w:tcBorders>
              <w:top w:val="nil"/>
              <w:left w:val="single" w:sz="12" w:space="0" w:color="2E74B5"/>
              <w:bottom w:val="nil"/>
              <w:right w:val="nil"/>
            </w:tcBorders>
          </w:tcPr>
          <w:p>
            <w:pPr>
              <w:spacing w:after="40" w:line="288" w:lineRule="auto"/>
            </w:pPr>
            <w:r>
              <w:rPr>
                <w:rFonts w:ascii="Calibri" w:hAnsi="Calibri" w:eastAsia="Calibri"/>
                <w:b/>
                <w:color w:val="2E74B5"/>
                <w:sz w:val="21"/>
              </w:rPr>
              <w:t xml:space="preserve">Authoritative definition. </w:t>
            </w:r>
            <w:r>
              <w:rPr>
                <w:rFonts w:ascii="Calibri" w:hAnsi="Calibri" w:eastAsia="Calibri"/>
                <w:color w:val="111827"/>
                <w:sz w:val="21"/>
              </w:rPr>
              <w:t>The digital twin is a synchronized state model plus an immutable event, task and evidence ledger. A map or 3D farm view is useful, but it is only a presentation layer; the twin remains valid without it.</w:t>
            </w:r>
          </w:p>
        </w:tc>
      </w:tr>
    </w:tbl>
    <w:p>
      <w:pPr>
        <w:keepNext w:val="0"/>
        <w:spacing w:before="0" w:after="40" w:line="300" w:lineRule="auto"/>
        <w:jc w:val="left"/>
      </w:pPr>
      <w:r>
        <w:rPr>
          <w:rFonts w:ascii="Calibri" w:hAnsi="Calibri" w:eastAsia="Calibri"/>
          <w:b w:val="0"/>
          <w:i w:val="0"/>
          <w:color w:val="111827"/>
          <w:sz w:val="22"/>
        </w:rPr>
      </w:r>
    </w:p>
    <w:p>
      <w:pPr>
        <w:numPr>
          <w:ilvl w:val="0"/>
          <w:numId w:val="10"/>
        </w:numPr>
        <w:spacing w:after="80" w:line="300" w:lineRule="auto"/>
      </w:pPr>
      <w:r>
        <w:rPr>
          <w:rFonts w:ascii="Calibri" w:hAnsi="Calibri" w:eastAsia="Calibri"/>
          <w:color w:val="111827"/>
          <w:sz w:val="22"/>
        </w:rPr>
        <w:t>State: best current estimate of soil, crop, environment, asset and operation condition.</w:t>
      </w:r>
    </w:p>
    <w:p>
      <w:pPr>
        <w:numPr>
          <w:ilvl w:val="0"/>
          <w:numId w:val="10"/>
        </w:numPr>
        <w:spacing w:after="80" w:line="300" w:lineRule="auto"/>
      </w:pPr>
      <w:r>
        <w:rPr>
          <w:rFonts w:ascii="Calibri" w:hAnsi="Calibri" w:eastAsia="Calibri"/>
          <w:color w:val="111827"/>
          <w:sz w:val="22"/>
        </w:rPr>
        <w:t>History: raw and corrected observations, samples, treatments, decisions, actions and outcomes.</w:t>
      </w:r>
    </w:p>
    <w:p>
      <w:pPr>
        <w:numPr>
          <w:ilvl w:val="0"/>
          <w:numId w:val="10"/>
        </w:numPr>
        <w:spacing w:after="80" w:line="300" w:lineRule="auto"/>
      </w:pPr>
      <w:r>
        <w:rPr>
          <w:rFonts w:ascii="Calibri" w:hAnsi="Calibri" w:eastAsia="Calibri"/>
          <w:color w:val="111827"/>
          <w:sz w:val="22"/>
        </w:rPr>
        <w:t>Models: current prediction, uncertainty, model version, feature snapshot and explanation.</w:t>
      </w:r>
    </w:p>
    <w:p>
      <w:pPr>
        <w:numPr>
          <w:ilvl w:val="0"/>
          <w:numId w:val="10"/>
        </w:numPr>
        <w:spacing w:after="80" w:line="300" w:lineRule="auto"/>
      </w:pPr>
      <w:r>
        <w:rPr>
          <w:rFonts w:ascii="Calibri" w:hAnsi="Calibri" w:eastAsia="Calibri"/>
          <w:color w:val="111827"/>
          <w:sz w:val="22"/>
        </w:rPr>
        <w:t>Future: scenarios for no action, recommended action and alternative actions.</w:t>
      </w:r>
    </w:p>
    <w:p>
      <w:pPr>
        <w:numPr>
          <w:ilvl w:val="0"/>
          <w:numId w:val="10"/>
        </w:numPr>
        <w:spacing w:after="80" w:line="300" w:lineRule="auto"/>
      </w:pPr>
      <w:r>
        <w:rPr>
          <w:rFonts w:ascii="Calibri" w:hAnsi="Calibri" w:eastAsia="Calibri"/>
          <w:color w:val="111827"/>
          <w:sz w:val="22"/>
        </w:rPr>
        <w:t>Tasks: planned, assigned, started, completed, verified, failed or cancelled farm work.</w:t>
      </w:r>
    </w:p>
    <w:p>
      <w:pPr>
        <w:numPr>
          <w:ilvl w:val="0"/>
          <w:numId w:val="10"/>
        </w:numPr>
        <w:spacing w:after="80" w:line="300" w:lineRule="auto"/>
      </w:pPr>
      <w:r>
        <w:rPr>
          <w:rFonts w:ascii="Calibri" w:hAnsi="Calibri" w:eastAsia="Calibri"/>
          <w:color w:val="111827"/>
          <w:sz w:val="22"/>
        </w:rPr>
        <w:t>Learning loop: measured response is linked back to the action that caused or preceded it.</w:t>
      </w:r>
    </w:p>
    <w:p>
      <w:pPr>
        <w:pStyle w:val="Heading2"/>
      </w:pPr>
      <w:r>
        <w:t>3.3 Hierarchical representation</w:t>
      </w:r>
    </w:p>
    <w:p>
      <w:pPr>
        <w:spacing w:before="120" w:after="80"/>
        <w:jc w:val="center"/>
      </w:pPr>
      <w:r>
        <w:drawing>
          <wp:inline xmlns:a="http://schemas.openxmlformats.org/drawingml/2006/main" xmlns:pic="http://schemas.openxmlformats.org/drawingml/2006/picture">
            <wp:extent cx="5715000" cy="3578110"/>
            <wp:docPr id="3" name="Picture 3" descr="Farm, field and plot/management-zone twins roll down to representative plant or row/stand twins depending on crop geometry and economics."/>
            <wp:cNvGraphicFramePr>
              <a:graphicFrameLocks noChangeAspect="1"/>
            </wp:cNvGraphicFramePr>
            <a:graphic>
              <a:graphicData uri="http://schemas.openxmlformats.org/drawingml/2006/picture">
                <pic:pic>
                  <pic:nvPicPr>
                    <pic:cNvPr id="0" name="agriguard_digital_twin_hierarchy.png"/>
                    <pic:cNvPicPr/>
                  </pic:nvPicPr>
                  <pic:blipFill>
                    <a:blip r:embed="rId13"/>
                    <a:stretch>
                      <a:fillRect/>
                    </a:stretch>
                  </pic:blipFill>
                  <pic:spPr>
                    <a:xfrm>
                      <a:off x="0" y="0"/>
                      <a:ext cx="5715000" cy="3578110"/>
                    </a:xfrm>
                    <a:prstGeom prst="rect"/>
                  </pic:spPr>
                </pic:pic>
              </a:graphicData>
            </a:graphic>
          </wp:inline>
        </w:drawing>
      </w:r>
    </w:p>
    <w:p>
      <w:pPr>
        <w:keepNext w:val="0"/>
        <w:spacing w:before="0" w:after="160" w:line="300" w:lineRule="auto"/>
        <w:jc w:val="center"/>
      </w:pPr>
      <w:r>
        <w:rPr>
          <w:rFonts w:ascii="Calibri" w:hAnsi="Calibri" w:eastAsia="Calibri"/>
          <w:b w:val="0"/>
          <w:i/>
          <w:color w:val="667085"/>
          <w:sz w:val="18"/>
        </w:rPr>
        <w:t>Figure 3. Hierarchical soil-crop digital twin.</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F2F4F7"/>
            <w:tcBorders>
              <w:top w:val="nil"/>
              <w:left w:val="single" w:sz="12" w:space="0" w:color="0B2545"/>
              <w:bottom w:val="nil"/>
              <w:right w:val="nil"/>
            </w:tcBorders>
          </w:tcPr>
          <w:p>
            <w:pPr>
              <w:spacing w:after="40" w:line="288" w:lineRule="auto"/>
            </w:pPr>
            <w:r>
              <w:rPr>
                <w:rFonts w:ascii="Calibri" w:hAnsi="Calibri" w:eastAsia="Calibri"/>
                <w:b/>
                <w:color w:val="0B2545"/>
                <w:sz w:val="21"/>
              </w:rPr>
              <w:t xml:space="preserve">Scale rule. </w:t>
            </w:r>
            <w:r>
              <w:rPr>
                <w:rFonts w:ascii="Calibri" w:hAnsi="Calibri" w:eastAsia="Calibri"/>
                <w:color w:val="111827"/>
                <w:sz w:val="21"/>
              </w:rPr>
              <w:t>Do not promise one sensor or permanent identity per plant across a large annual-crop field. Use management zones and row/stand states for coverage; use representative sentinel plants for detailed biological measurements. Use plant identity where it is physically stable and valuable, such as orchards or research plots.</w:t>
            </w:r>
          </w:p>
        </w:tc>
      </w:tr>
    </w:tbl>
    <w:p>
      <w:pPr>
        <w:keepNext w:val="0"/>
        <w:spacing w:before="0" w:after="40" w:line="300" w:lineRule="auto"/>
        <w:jc w:val="left"/>
      </w:pPr>
      <w:r>
        <w:rPr>
          <w:rFonts w:ascii="Calibri" w:hAnsi="Calibri" w:eastAsia="Calibri"/>
          <w:b w:val="0"/>
          <w:i w:val="0"/>
          <w:color w:val="111827"/>
          <w:sz w:val="22"/>
        </w:rPr>
      </w:r>
    </w:p>
    <w:p>
      <w:pPr>
        <w:pStyle w:val="Heading1"/>
      </w:pPr>
      <w:r>
        <w:t>4. Apollo Soil360 intelligent soil-development core</w:t>
      </w:r>
    </w:p>
    <w:p>
      <w:pPr>
        <w:pStyle w:val="Heading2"/>
      </w:pPr>
      <w:r>
        <w:t>4.1 Soil-state dimensions</w:t>
      </w:r>
    </w:p>
    <w:tbl>
      <w:tblPr>
        <w:tblStyle w:val="TableGrid"/>
        <w:tblW w:type="dxa" w:w="9360"/>
        <w:jc w:val="left"/>
        <w:tblLayout w:type="fixed"/>
        <w:tblLook w:firstColumn="1" w:firstRow="1" w:lastColumn="0" w:lastRow="0" w:noHBand="0" w:noVBand="1" w:val="04A0"/>
        <w:tblInd w:w="120" w:type="dxa"/>
      </w:tblPr>
      <w:tblGrid>
        <w:gridCol w:w="1450"/>
        <w:gridCol w:w="3000"/>
        <w:gridCol w:w="2900"/>
        <w:gridCol w:w="2010"/>
      </w:tblGrid>
      <w:tr>
        <w:trPr>
          <w:tblHeader w:val="true"/>
          <w:cantSplit/>
        </w:trPr>
        <w:tc>
          <w:tcPr>
            <w:tcW w:type="dxa" w:w="1450"/>
            <w:shd w:fill="E8EEF5"/>
            <w:vAlign w:val="center"/>
            <w:tcMar>
              <w:top w:w="80" w:type="dxa"/>
              <w:start w:w="120" w:type="dxa"/>
              <w:bottom w:w="80" w:type="dxa"/>
              <w:end w:w="120" w:type="dxa"/>
            </w:tcMar>
          </w:tcPr>
          <w:p>
            <w:pPr>
              <w:spacing w:after="0" w:line="252" w:lineRule="auto"/>
              <w:jc w:val="center"/>
            </w:pPr>
            <w:r>
              <w:rPr>
                <w:rFonts w:ascii="Calibri" w:hAnsi="Calibri" w:eastAsia="Calibri"/>
                <w:b/>
                <w:color w:val="0B2545"/>
                <w:sz w:val="16"/>
              </w:rPr>
              <w:t>Dimension</w:t>
            </w:r>
          </w:p>
        </w:tc>
        <w:tc>
          <w:tcPr>
            <w:tcW w:type="dxa" w:w="3000"/>
            <w:shd w:fill="E8EEF5"/>
            <w:vAlign w:val="center"/>
            <w:tcMar>
              <w:top w:w="80" w:type="dxa"/>
              <w:start w:w="120" w:type="dxa"/>
              <w:bottom w:w="80" w:type="dxa"/>
              <w:end w:w="120" w:type="dxa"/>
            </w:tcMar>
          </w:tcPr>
          <w:p>
            <w:pPr>
              <w:spacing w:after="0" w:line="252" w:lineRule="auto"/>
              <w:jc w:val="center"/>
            </w:pPr>
            <w:r>
              <w:rPr>
                <w:rFonts w:ascii="Calibri" w:hAnsi="Calibri" w:eastAsia="Calibri"/>
                <w:b/>
                <w:color w:val="0B2545"/>
                <w:sz w:val="16"/>
              </w:rPr>
              <w:t>Variables</w:t>
            </w:r>
          </w:p>
        </w:tc>
        <w:tc>
          <w:tcPr>
            <w:tcW w:type="dxa" w:w="2900"/>
            <w:shd w:fill="E8EEF5"/>
            <w:vAlign w:val="center"/>
            <w:tcMar>
              <w:top w:w="80" w:type="dxa"/>
              <w:start w:w="120" w:type="dxa"/>
              <w:bottom w:w="80" w:type="dxa"/>
              <w:end w:w="120" w:type="dxa"/>
            </w:tcMar>
          </w:tcPr>
          <w:p>
            <w:pPr>
              <w:spacing w:after="0" w:line="252" w:lineRule="auto"/>
              <w:jc w:val="center"/>
            </w:pPr>
            <w:r>
              <w:rPr>
                <w:rFonts w:ascii="Calibri" w:hAnsi="Calibri" w:eastAsia="Calibri"/>
                <w:b/>
                <w:color w:val="0B2545"/>
                <w:sz w:val="16"/>
              </w:rPr>
              <w:t>Primary evidence</w:t>
            </w:r>
          </w:p>
        </w:tc>
        <w:tc>
          <w:tcPr>
            <w:tcW w:type="dxa" w:w="2010"/>
            <w:shd w:fill="E8EEF5"/>
            <w:vAlign w:val="center"/>
            <w:tcMar>
              <w:top w:w="80" w:type="dxa"/>
              <w:start w:w="120" w:type="dxa"/>
              <w:bottom w:w="80" w:type="dxa"/>
              <w:end w:w="120" w:type="dxa"/>
            </w:tcMar>
          </w:tcPr>
          <w:p>
            <w:pPr>
              <w:spacing w:after="0" w:line="252" w:lineRule="auto"/>
              <w:jc w:val="center"/>
            </w:pPr>
            <w:r>
              <w:rPr>
                <w:rFonts w:ascii="Calibri" w:hAnsi="Calibri" w:eastAsia="Calibri"/>
                <w:b/>
                <w:color w:val="0B2545"/>
                <w:sz w:val="16"/>
              </w:rPr>
              <w:t>Update frequency</w:t>
            </w:r>
          </w:p>
        </w:tc>
      </w:tr>
      <w:tr>
        <w:trPr>
          <w:cantSplit/>
        </w:trPr>
        <w:tc>
          <w:tcPr>
            <w:tcW w:type="dxa" w:w="145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Geometry and terrain</w:t>
            </w:r>
          </w:p>
        </w:tc>
        <w:tc>
          <w:tcPr>
            <w:tcW w:type="dxa" w:w="30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Elevation, slope, aspect, microrelief, drainage path, erosion risk</w:t>
            </w:r>
          </w:p>
        </w:tc>
        <w:tc>
          <w:tcPr>
            <w:tcW w:type="dxa" w:w="29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Survey/RTK/DEM, field walk, imagery</w:t>
            </w:r>
          </w:p>
        </w:tc>
        <w:tc>
          <w:tcPr>
            <w:tcW w:type="dxa" w:w="201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Baseline and after major earthwork</w:t>
            </w:r>
          </w:p>
        </w:tc>
      </w:tr>
      <w:tr>
        <w:trPr>
          <w:cantSplit/>
        </w:trPr>
        <w:tc>
          <w:tcPr>
            <w:tcW w:type="dxa" w:w="145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Physical</w:t>
            </w:r>
          </w:p>
        </w:tc>
        <w:tc>
          <w:tcPr>
            <w:tcW w:type="dxa" w:w="30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Texture, bulk density, compaction, infiltration, aggregate condition, rootable depth</w:t>
            </w:r>
          </w:p>
        </w:tc>
        <w:tc>
          <w:tcPr>
            <w:tcW w:type="dxa" w:w="29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Lab/field tests, penetrometer, infiltration test</w:t>
            </w:r>
          </w:p>
        </w:tc>
        <w:tc>
          <w:tcPr>
            <w:tcW w:type="dxa" w:w="201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Baseline, targeted checks, post-season</w:t>
            </w:r>
          </w:p>
        </w:tc>
      </w:tr>
      <w:tr>
        <w:trPr>
          <w:cantSplit/>
        </w:trPr>
        <w:tc>
          <w:tcPr>
            <w:tcW w:type="dxa" w:w="145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Water</w:t>
            </w:r>
          </w:p>
        </w:tc>
        <w:tc>
          <w:tcPr>
            <w:tcW w:type="dxa" w:w="30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Volumetric moisture, tension, water balance, infiltration, evapotranspiration, waterlogging</w:t>
            </w:r>
          </w:p>
        </w:tc>
        <w:tc>
          <w:tcPr>
            <w:tcW w:type="dxa" w:w="29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Calibrated probes, flow/rain, weather, model</w:t>
            </w:r>
          </w:p>
        </w:tc>
        <w:tc>
          <w:tcPr>
            <w:tcW w:type="dxa" w:w="201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Minutes to hours</w:t>
            </w:r>
          </w:p>
        </w:tc>
      </w:tr>
      <w:tr>
        <w:trPr>
          <w:cantSplit/>
        </w:trPr>
        <w:tc>
          <w:tcPr>
            <w:tcW w:type="dxa" w:w="145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Thermal</w:t>
            </w:r>
          </w:p>
        </w:tc>
        <w:tc>
          <w:tcPr>
            <w:tcW w:type="dxa" w:w="30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Soil temperature by depth, surface temperature and diurnal range</w:t>
            </w:r>
          </w:p>
        </w:tc>
        <w:tc>
          <w:tcPr>
            <w:tcW w:type="dxa" w:w="29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Temperature probes, thermal/remote observations</w:t>
            </w:r>
          </w:p>
        </w:tc>
        <w:tc>
          <w:tcPr>
            <w:tcW w:type="dxa" w:w="201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Minutes to hours</w:t>
            </w:r>
          </w:p>
        </w:tc>
      </w:tr>
      <w:tr>
        <w:trPr>
          <w:cantSplit/>
        </w:trPr>
        <w:tc>
          <w:tcPr>
            <w:tcW w:type="dxa" w:w="145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Chemical</w:t>
            </w:r>
          </w:p>
        </w:tc>
        <w:tc>
          <w:tcPr>
            <w:tcW w:type="dxa" w:w="30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pH, EC/salinity, organic carbon, N-P-K and selected micronutrients</w:t>
            </w:r>
          </w:p>
        </w:tc>
        <w:tc>
          <w:tcPr>
            <w:tcW w:type="dxa" w:w="29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Certified/validated laboratory and field sampling</w:t>
            </w:r>
          </w:p>
        </w:tc>
        <w:tc>
          <w:tcPr>
            <w:tcW w:type="dxa" w:w="201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Baseline and agronomic schedule</w:t>
            </w:r>
          </w:p>
        </w:tc>
      </w:tr>
      <w:tr>
        <w:trPr>
          <w:cantSplit/>
        </w:trPr>
        <w:tc>
          <w:tcPr>
            <w:tcW w:type="dxa" w:w="145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Biological proxy</w:t>
            </w:r>
          </w:p>
        </w:tc>
        <w:tc>
          <w:tcPr>
            <w:tcW w:type="dxa" w:w="30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Residue, root activity, canopy response, optional respiration/microbial tests</w:t>
            </w:r>
          </w:p>
        </w:tc>
        <w:tc>
          <w:tcPr>
            <w:tcW w:type="dxa" w:w="29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Field/lab records and crop response</w:t>
            </w:r>
          </w:p>
        </w:tc>
        <w:tc>
          <w:tcPr>
            <w:tcW w:type="dxa" w:w="201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Stage or season</w:t>
            </w:r>
          </w:p>
        </w:tc>
      </w:tr>
      <w:tr>
        <w:trPr>
          <w:cantSplit/>
        </w:trPr>
        <w:tc>
          <w:tcPr>
            <w:tcW w:type="dxa" w:w="145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Management</w:t>
            </w:r>
          </w:p>
        </w:tc>
        <w:tc>
          <w:tcPr>
            <w:tcW w:type="dxa" w:w="30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Tillage, amendment, mulch, hydrogel, irrigation, fertilizer and traffic</w:t>
            </w:r>
          </w:p>
        </w:tc>
        <w:tc>
          <w:tcPr>
            <w:tcW w:type="dxa" w:w="29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Verified operation events and material batches</w:t>
            </w:r>
          </w:p>
        </w:tc>
        <w:tc>
          <w:tcPr>
            <w:tcW w:type="dxa" w:w="201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Every action</w:t>
            </w:r>
          </w:p>
        </w:tc>
      </w:tr>
    </w:tbl>
    <w:p>
      <w:pPr>
        <w:keepNext w:val="0"/>
        <w:spacing w:before="0" w:after="40" w:line="300" w:lineRule="auto"/>
        <w:jc w:val="left"/>
      </w:pPr>
      <w:r>
        <w:rPr>
          <w:rFonts w:ascii="Calibri" w:hAnsi="Calibri" w:eastAsia="Calibri"/>
          <w:b w:val="0"/>
          <w:i w:val="0"/>
          <w:color w:val="111827"/>
          <w:sz w:val="22"/>
        </w:rPr>
      </w:r>
    </w:p>
    <w:p>
      <w:pPr>
        <w:pStyle w:val="Heading2"/>
      </w:pPr>
      <w:r>
        <w:t>4.2 Soil-state estimation</w:t>
      </w:r>
    </w:p>
    <w:p>
      <w:pPr>
        <w:keepNext w:val="0"/>
        <w:spacing w:before="0" w:after="120" w:line="300" w:lineRule="auto"/>
        <w:jc w:val="left"/>
      </w:pPr>
      <w:r>
        <w:rPr>
          <w:rFonts w:ascii="Calibri" w:hAnsi="Calibri" w:eastAsia="Calibri"/>
          <w:b w:val="0"/>
          <w:i w:val="0"/>
          <w:color w:val="111827"/>
          <w:sz w:val="22"/>
        </w:rPr>
        <w:t>Soil360 should never copy the last sensor reading into the twin as unquestioned truth. It should estimate state by combining calibrated sensor data, soil laboratory values, weather and water balance, spatial neighbours, crop stage and observation quality. Each field stores a value, unit, depth, location, timestamp, uncertainty and provenance.</w:t>
      </w:r>
    </w:p>
    <w:p>
      <w:pPr>
        <w:numPr>
          <w:ilvl w:val="0"/>
          <w:numId w:val="10"/>
        </w:numPr>
        <w:spacing w:after="80" w:line="300" w:lineRule="auto"/>
      </w:pPr>
      <w:r>
        <w:rPr>
          <w:rFonts w:ascii="Calibri" w:hAnsi="Calibri" w:eastAsia="Calibri"/>
          <w:color w:val="111827"/>
          <w:sz w:val="22"/>
        </w:rPr>
        <w:t>Start with deterministic water balance and interpolation baselines before deep learning.</w:t>
      </w:r>
    </w:p>
    <w:p>
      <w:pPr>
        <w:numPr>
          <w:ilvl w:val="0"/>
          <w:numId w:val="10"/>
        </w:numPr>
        <w:spacing w:after="80" w:line="300" w:lineRule="auto"/>
      </w:pPr>
      <w:r>
        <w:rPr>
          <w:rFonts w:ascii="Calibri" w:hAnsi="Calibri" w:eastAsia="Calibri"/>
          <w:color w:val="111827"/>
          <w:sz w:val="22"/>
        </w:rPr>
        <w:t>Use calibration curves per soil type and sensor batch; retain raw readings beside converted values.</w:t>
      </w:r>
    </w:p>
    <w:p>
      <w:pPr>
        <w:numPr>
          <w:ilvl w:val="0"/>
          <w:numId w:val="10"/>
        </w:numPr>
        <w:spacing w:after="80" w:line="300" w:lineRule="auto"/>
      </w:pPr>
      <w:r>
        <w:rPr>
          <w:rFonts w:ascii="Calibri" w:hAnsi="Calibri" w:eastAsia="Calibri"/>
          <w:color w:val="111827"/>
          <w:sz w:val="22"/>
        </w:rPr>
        <w:t>Treat laboratory samples as high-authority but sparse observations, not continuous signals.</w:t>
      </w:r>
    </w:p>
    <w:p>
      <w:pPr>
        <w:numPr>
          <w:ilvl w:val="0"/>
          <w:numId w:val="10"/>
        </w:numPr>
        <w:spacing w:after="80" w:line="300" w:lineRule="auto"/>
      </w:pPr>
      <w:r>
        <w:rPr>
          <w:rFonts w:ascii="Calibri" w:hAnsi="Calibri" w:eastAsia="Calibri"/>
          <w:color w:val="111827"/>
          <w:sz w:val="22"/>
        </w:rPr>
        <w:t>Flag impossible rate changes, stuck sensors, drift, time gaps and depth/location mismatches.</w:t>
      </w:r>
    </w:p>
    <w:p>
      <w:pPr>
        <w:numPr>
          <w:ilvl w:val="0"/>
          <w:numId w:val="10"/>
        </w:numPr>
        <w:spacing w:after="80" w:line="300" w:lineRule="auto"/>
      </w:pPr>
      <w:r>
        <w:rPr>
          <w:rFonts w:ascii="Calibri" w:hAnsi="Calibri" w:eastAsia="Calibri"/>
          <w:color w:val="111827"/>
          <w:sz w:val="22"/>
        </w:rPr>
        <w:t>Produce management-zone state with an uncertainty map; do not create false plant-scale precision from 10-250 m public rasters.</w:t>
      </w:r>
    </w:p>
    <w:p>
      <w:pPr>
        <w:pStyle w:val="Heading2"/>
      </w:pPr>
      <w:r>
        <w:t>4.3 Intelligent soil-development loop</w:t>
      </w:r>
    </w:p>
    <w:tbl>
      <w:tblPr>
        <w:tblStyle w:val="TableGrid"/>
        <w:tblW w:type="dxa" w:w="9360"/>
        <w:jc w:val="left"/>
        <w:tblLayout w:type="fixed"/>
        <w:tblLook w:firstColumn="1" w:firstRow="1" w:lastColumn="0" w:lastRow="0" w:noHBand="0" w:noVBand="1" w:val="04A0"/>
        <w:tblInd w:w="120" w:type="dxa"/>
      </w:tblPr>
      <w:tblGrid>
        <w:gridCol w:w="1500"/>
        <w:gridCol w:w="4000"/>
        <w:gridCol w:w="3860"/>
      </w:tblGrid>
      <w:tr>
        <w:trPr>
          <w:tblHeader w:val="true"/>
          <w:cantSplit/>
        </w:trPr>
        <w:tc>
          <w:tcPr>
            <w:tcW w:type="dxa" w:w="1500"/>
            <w:shd w:fill="E8EEF5"/>
            <w:vAlign w:val="center"/>
            <w:tcMar>
              <w:top w:w="80" w:type="dxa"/>
              <w:start w:w="120" w:type="dxa"/>
              <w:bottom w:w="80" w:type="dxa"/>
              <w:end w:w="120" w:type="dxa"/>
            </w:tcMar>
          </w:tcPr>
          <w:p>
            <w:pPr>
              <w:spacing w:after="0" w:line="252" w:lineRule="auto"/>
              <w:jc w:val="center"/>
            </w:pPr>
            <w:r>
              <w:rPr>
                <w:rFonts w:ascii="Calibri" w:hAnsi="Calibri" w:eastAsia="Calibri"/>
                <w:b/>
                <w:color w:val="0B2545"/>
                <w:sz w:val="17"/>
              </w:rPr>
              <w:t>Loop step</w:t>
            </w:r>
          </w:p>
        </w:tc>
        <w:tc>
          <w:tcPr>
            <w:tcW w:type="dxa" w:w="4000"/>
            <w:shd w:fill="E8EEF5"/>
            <w:vAlign w:val="center"/>
            <w:tcMar>
              <w:top w:w="80" w:type="dxa"/>
              <w:start w:w="120" w:type="dxa"/>
              <w:bottom w:w="80" w:type="dxa"/>
              <w:end w:w="120" w:type="dxa"/>
            </w:tcMar>
          </w:tcPr>
          <w:p>
            <w:pPr>
              <w:spacing w:after="0" w:line="252" w:lineRule="auto"/>
              <w:jc w:val="center"/>
            </w:pPr>
            <w:r>
              <w:rPr>
                <w:rFonts w:ascii="Calibri" w:hAnsi="Calibri" w:eastAsia="Calibri"/>
                <w:b/>
                <w:color w:val="0B2545"/>
                <w:sz w:val="17"/>
              </w:rPr>
              <w:t>System function</w:t>
            </w:r>
          </w:p>
        </w:tc>
        <w:tc>
          <w:tcPr>
            <w:tcW w:type="dxa" w:w="3860"/>
            <w:shd w:fill="E8EEF5"/>
            <w:vAlign w:val="center"/>
            <w:tcMar>
              <w:top w:w="80" w:type="dxa"/>
              <w:start w:w="120" w:type="dxa"/>
              <w:bottom w:w="80" w:type="dxa"/>
              <w:end w:w="120" w:type="dxa"/>
            </w:tcMar>
          </w:tcPr>
          <w:p>
            <w:pPr>
              <w:spacing w:after="0" w:line="252" w:lineRule="auto"/>
              <w:jc w:val="center"/>
            </w:pPr>
            <w:r>
              <w:rPr>
                <w:rFonts w:ascii="Calibri" w:hAnsi="Calibri" w:eastAsia="Calibri"/>
                <w:b/>
                <w:color w:val="0B2545"/>
                <w:sz w:val="17"/>
              </w:rPr>
              <w:t>Required evidence</w:t>
            </w:r>
          </w:p>
        </w:tc>
      </w:tr>
      <w:tr>
        <w:trPr>
          <w:cantSplit/>
        </w:trPr>
        <w:tc>
          <w:tcPr>
            <w:tcW w:type="dxa" w:w="1500"/>
            <w:vAlign w:val="center"/>
            <w:tcMar>
              <w:top w:w="80" w:type="dxa"/>
              <w:start w:w="120" w:type="dxa"/>
              <w:bottom w:w="80" w:type="dxa"/>
              <w:end w:w="120" w:type="dxa"/>
            </w:tcMar>
          </w:tcPr>
          <w:p>
            <w:pPr>
              <w:spacing w:after="0" w:line="259" w:lineRule="auto"/>
              <w:jc w:val="left"/>
            </w:pPr>
            <w:r>
              <w:rPr>
                <w:rFonts w:ascii="Calibri" w:hAnsi="Calibri" w:eastAsia="Calibri"/>
                <w:b/>
                <w:color w:val="111827"/>
                <w:sz w:val="17"/>
              </w:rPr>
              <w:t>Diagnose</w:t>
            </w:r>
          </w:p>
        </w:tc>
        <w:tc>
          <w:tcPr>
            <w:tcW w:type="dxa" w:w="40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Identify limiting soil-water, physical or chemical condition</w:t>
            </w:r>
          </w:p>
        </w:tc>
        <w:tc>
          <w:tcPr>
            <w:tcW w:type="dxa" w:w="38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Baseline sample, sensor history, terrain and crop response</w:t>
            </w:r>
          </w:p>
        </w:tc>
      </w:tr>
      <w:tr>
        <w:trPr>
          <w:cantSplit/>
        </w:trPr>
        <w:tc>
          <w:tcPr>
            <w:tcW w:type="dxa" w:w="1500"/>
            <w:vAlign w:val="center"/>
            <w:tcMar>
              <w:top w:w="80" w:type="dxa"/>
              <w:start w:w="120" w:type="dxa"/>
              <w:bottom w:w="80" w:type="dxa"/>
              <w:end w:w="120" w:type="dxa"/>
            </w:tcMar>
          </w:tcPr>
          <w:p>
            <w:pPr>
              <w:spacing w:after="0" w:line="259" w:lineRule="auto"/>
              <w:jc w:val="left"/>
            </w:pPr>
            <w:r>
              <w:rPr>
                <w:rFonts w:ascii="Calibri" w:hAnsi="Calibri" w:eastAsia="Calibri"/>
                <w:b/>
                <w:color w:val="111827"/>
                <w:sz w:val="17"/>
              </w:rPr>
              <w:t>Design</w:t>
            </w:r>
          </w:p>
        </w:tc>
        <w:tc>
          <w:tcPr>
            <w:tcW w:type="dxa" w:w="40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Select expert-approved treatment and control plan</w:t>
            </w:r>
          </w:p>
        </w:tc>
        <w:tc>
          <w:tcPr>
            <w:tcW w:type="dxa" w:w="38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Agronomic rationale, target, constraints, randomisation and budget</w:t>
            </w:r>
          </w:p>
        </w:tc>
      </w:tr>
      <w:tr>
        <w:trPr>
          <w:cantSplit/>
        </w:trPr>
        <w:tc>
          <w:tcPr>
            <w:tcW w:type="dxa" w:w="1500"/>
            <w:vAlign w:val="center"/>
            <w:tcMar>
              <w:top w:w="80" w:type="dxa"/>
              <w:start w:w="120" w:type="dxa"/>
              <w:bottom w:w="80" w:type="dxa"/>
              <w:end w:w="120" w:type="dxa"/>
            </w:tcMar>
          </w:tcPr>
          <w:p>
            <w:pPr>
              <w:spacing w:after="0" w:line="259" w:lineRule="auto"/>
              <w:jc w:val="left"/>
            </w:pPr>
            <w:r>
              <w:rPr>
                <w:rFonts w:ascii="Calibri" w:hAnsi="Calibri" w:eastAsia="Calibri"/>
                <w:b/>
                <w:color w:val="111827"/>
                <w:sz w:val="17"/>
              </w:rPr>
              <w:t>Apply</w:t>
            </w:r>
          </w:p>
        </w:tc>
        <w:tc>
          <w:tcPr>
            <w:tcW w:type="dxa" w:w="40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Record exact operation, material, batch, location and time</w:t>
            </w:r>
          </w:p>
        </w:tc>
        <w:tc>
          <w:tcPr>
            <w:tcW w:type="dxa" w:w="38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Geo-referenced completion and operator verification</w:t>
            </w:r>
          </w:p>
        </w:tc>
      </w:tr>
      <w:tr>
        <w:trPr>
          <w:cantSplit/>
        </w:trPr>
        <w:tc>
          <w:tcPr>
            <w:tcW w:type="dxa" w:w="1500"/>
            <w:vAlign w:val="center"/>
            <w:tcMar>
              <w:top w:w="80" w:type="dxa"/>
              <w:start w:w="120" w:type="dxa"/>
              <w:bottom w:w="80" w:type="dxa"/>
              <w:end w:w="120" w:type="dxa"/>
            </w:tcMar>
          </w:tcPr>
          <w:p>
            <w:pPr>
              <w:spacing w:after="0" w:line="259" w:lineRule="auto"/>
              <w:jc w:val="left"/>
            </w:pPr>
            <w:r>
              <w:rPr>
                <w:rFonts w:ascii="Calibri" w:hAnsi="Calibri" w:eastAsia="Calibri"/>
                <w:b/>
                <w:color w:val="111827"/>
                <w:sz w:val="17"/>
              </w:rPr>
              <w:t>Observe</w:t>
            </w:r>
          </w:p>
        </w:tc>
        <w:tc>
          <w:tcPr>
            <w:tcW w:type="dxa" w:w="40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Measure immediate and delayed response</w:t>
            </w:r>
          </w:p>
        </w:tc>
        <w:tc>
          <w:tcPr>
            <w:tcW w:type="dxa" w:w="38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Moisture/temperature, emergence, biomass, yield and soil endpoints</w:t>
            </w:r>
          </w:p>
        </w:tc>
      </w:tr>
      <w:tr>
        <w:trPr>
          <w:cantSplit/>
        </w:trPr>
        <w:tc>
          <w:tcPr>
            <w:tcW w:type="dxa" w:w="1500"/>
            <w:vAlign w:val="center"/>
            <w:tcMar>
              <w:top w:w="80" w:type="dxa"/>
              <w:start w:w="120" w:type="dxa"/>
              <w:bottom w:w="80" w:type="dxa"/>
              <w:end w:w="120" w:type="dxa"/>
            </w:tcMar>
          </w:tcPr>
          <w:p>
            <w:pPr>
              <w:spacing w:after="0" w:line="259" w:lineRule="auto"/>
              <w:jc w:val="left"/>
            </w:pPr>
            <w:r>
              <w:rPr>
                <w:rFonts w:ascii="Calibri" w:hAnsi="Calibri" w:eastAsia="Calibri"/>
                <w:b/>
                <w:color w:val="111827"/>
                <w:sz w:val="17"/>
              </w:rPr>
              <w:t>Attribute</w:t>
            </w:r>
          </w:p>
        </w:tc>
        <w:tc>
          <w:tcPr>
            <w:tcW w:type="dxa" w:w="40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Estimate treatment effect against controls/replicates</w:t>
            </w:r>
          </w:p>
        </w:tc>
        <w:tc>
          <w:tcPr>
            <w:tcW w:type="dxa" w:w="38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Controlled-trial analysis with uncertainty</w:t>
            </w:r>
          </w:p>
        </w:tc>
      </w:tr>
      <w:tr>
        <w:trPr>
          <w:cantSplit/>
        </w:trPr>
        <w:tc>
          <w:tcPr>
            <w:tcW w:type="dxa" w:w="1500"/>
            <w:vAlign w:val="center"/>
            <w:tcMar>
              <w:top w:w="80" w:type="dxa"/>
              <w:start w:w="120" w:type="dxa"/>
              <w:bottom w:w="80" w:type="dxa"/>
              <w:end w:w="120" w:type="dxa"/>
            </w:tcMar>
          </w:tcPr>
          <w:p>
            <w:pPr>
              <w:spacing w:after="0" w:line="259" w:lineRule="auto"/>
              <w:jc w:val="left"/>
            </w:pPr>
            <w:r>
              <w:rPr>
                <w:rFonts w:ascii="Calibri" w:hAnsi="Calibri" w:eastAsia="Calibri"/>
                <w:b/>
                <w:color w:val="111827"/>
                <w:sz w:val="17"/>
              </w:rPr>
              <w:t>Adapt</w:t>
            </w:r>
          </w:p>
        </w:tc>
        <w:tc>
          <w:tcPr>
            <w:tcW w:type="dxa" w:w="40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Update next operation or next-season plan</w:t>
            </w:r>
          </w:p>
        </w:tc>
        <w:tc>
          <w:tcPr>
            <w:tcW w:type="dxa" w:w="38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Benefit, risk, cost and soil-health result</w:t>
            </w:r>
          </w:p>
        </w:tc>
      </w:tr>
    </w:tbl>
    <w:p>
      <w:pPr>
        <w:keepNext w:val="0"/>
        <w:spacing w:before="0" w:after="40" w:line="300" w:lineRule="auto"/>
        <w:jc w:val="left"/>
      </w:pPr>
      <w:r>
        <w:rPr>
          <w:rFonts w:ascii="Calibri" w:hAnsi="Calibri" w:eastAsia="Calibri"/>
          <w:b w:val="0"/>
          <w:i w:val="0"/>
          <w:color w:val="111827"/>
          <w:sz w:val="22"/>
        </w:rPr>
      </w:r>
    </w:p>
    <w:p>
      <w:pPr>
        <w:pStyle w:val="Heading1"/>
      </w:pPr>
      <w:r>
        <w:t>5. Mulch, hydrogel and soil-treatment experimental programme</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FFF3E6"/>
            <w:tcBorders>
              <w:top w:val="nil"/>
              <w:left w:val="single" w:sz="12" w:space="0" w:color="F28C28"/>
              <w:bottom w:val="nil"/>
              <w:right w:val="nil"/>
            </w:tcBorders>
          </w:tcPr>
          <w:p>
            <w:pPr>
              <w:spacing w:after="40" w:line="288" w:lineRule="auto"/>
            </w:pPr>
            <w:r>
              <w:rPr>
                <w:rFonts w:ascii="Calibri" w:hAnsi="Calibri" w:eastAsia="Calibri"/>
                <w:b/>
                <w:color w:val="F28C28"/>
                <w:sz w:val="21"/>
              </w:rPr>
              <w:t xml:space="preserve">Research opportunity. </w:t>
            </w:r>
            <w:r>
              <w:rPr>
                <w:rFonts w:ascii="Calibri" w:hAnsi="Calibri" w:eastAsia="Calibri"/>
                <w:color w:val="111827"/>
                <w:sz w:val="21"/>
              </w:rPr>
              <w:t>Public Earth-observation and crop datasets cannot answer how a particular mulch paper, hydrogel, soil and irrigation combination behaves in a Solapur plot. Apollo must create a controlled, locally measured treatment-response dataset; this is a major originality point.</w:t>
            </w:r>
          </w:p>
        </w:tc>
      </w:tr>
    </w:tbl>
    <w:p>
      <w:pPr>
        <w:keepNext w:val="0"/>
        <w:spacing w:before="0" w:after="40" w:line="300" w:lineRule="auto"/>
        <w:jc w:val="left"/>
      </w:pPr>
      <w:r>
        <w:rPr>
          <w:rFonts w:ascii="Calibri" w:hAnsi="Calibri" w:eastAsia="Calibri"/>
          <w:b w:val="0"/>
          <w:i w:val="0"/>
          <w:color w:val="111827"/>
          <w:sz w:val="22"/>
        </w:rPr>
      </w:r>
    </w:p>
    <w:p>
      <w:pPr>
        <w:pStyle w:val="Heading2"/>
      </w:pPr>
      <w:r>
        <w:t>5.1 Trial families</w:t>
      </w:r>
    </w:p>
    <w:tbl>
      <w:tblPr>
        <w:tblStyle w:val="TableGrid"/>
        <w:tblW w:type="dxa" w:w="9360"/>
        <w:jc w:val="left"/>
        <w:tblLayout w:type="fixed"/>
        <w:tblLook w:firstColumn="1" w:firstRow="1" w:lastColumn="0" w:lastRow="0" w:noHBand="0" w:noVBand="1" w:val="04A0"/>
        <w:tblInd w:w="120" w:type="dxa"/>
      </w:tblPr>
      <w:tblGrid>
        <w:gridCol w:w="1700"/>
        <w:gridCol w:w="3800"/>
        <w:gridCol w:w="3860"/>
      </w:tblGrid>
      <w:tr>
        <w:trPr>
          <w:tblHeader w:val="true"/>
          <w:cantSplit/>
        </w:trPr>
        <w:tc>
          <w:tcPr>
            <w:tcW w:type="dxa" w:w="1700"/>
            <w:shd w:fill="E8EEF5"/>
            <w:vAlign w:val="center"/>
            <w:tcMar>
              <w:top w:w="80" w:type="dxa"/>
              <w:start w:w="120" w:type="dxa"/>
              <w:bottom w:w="80" w:type="dxa"/>
              <w:end w:w="120" w:type="dxa"/>
            </w:tcMar>
          </w:tcPr>
          <w:p>
            <w:pPr>
              <w:spacing w:after="0" w:line="252" w:lineRule="auto"/>
              <w:jc w:val="center"/>
            </w:pPr>
            <w:r>
              <w:rPr>
                <w:rFonts w:ascii="Calibri" w:hAnsi="Calibri" w:eastAsia="Calibri"/>
                <w:b/>
                <w:color w:val="0B2545"/>
                <w:sz w:val="16"/>
              </w:rPr>
              <w:t>Trial family</w:t>
            </w:r>
          </w:p>
        </w:tc>
        <w:tc>
          <w:tcPr>
            <w:tcW w:type="dxa" w:w="3800"/>
            <w:shd w:fill="E8EEF5"/>
            <w:vAlign w:val="center"/>
            <w:tcMar>
              <w:top w:w="80" w:type="dxa"/>
              <w:start w:w="120" w:type="dxa"/>
              <w:bottom w:w="80" w:type="dxa"/>
              <w:end w:w="120" w:type="dxa"/>
            </w:tcMar>
          </w:tcPr>
          <w:p>
            <w:pPr>
              <w:spacing w:after="0" w:line="252" w:lineRule="auto"/>
              <w:jc w:val="center"/>
            </w:pPr>
            <w:r>
              <w:rPr>
                <w:rFonts w:ascii="Calibri" w:hAnsi="Calibri" w:eastAsia="Calibri"/>
                <w:b/>
                <w:color w:val="0B2545"/>
                <w:sz w:val="16"/>
              </w:rPr>
              <w:t>Treatment factors</w:t>
            </w:r>
          </w:p>
        </w:tc>
        <w:tc>
          <w:tcPr>
            <w:tcW w:type="dxa" w:w="3860"/>
            <w:shd w:fill="E8EEF5"/>
            <w:vAlign w:val="center"/>
            <w:tcMar>
              <w:top w:w="80" w:type="dxa"/>
              <w:start w:w="120" w:type="dxa"/>
              <w:bottom w:w="80" w:type="dxa"/>
              <w:end w:w="120" w:type="dxa"/>
            </w:tcMar>
          </w:tcPr>
          <w:p>
            <w:pPr>
              <w:spacing w:after="0" w:line="252" w:lineRule="auto"/>
              <w:jc w:val="center"/>
            </w:pPr>
            <w:r>
              <w:rPr>
                <w:rFonts w:ascii="Calibri" w:hAnsi="Calibri" w:eastAsia="Calibri"/>
                <w:b/>
                <w:color w:val="0B2545"/>
                <w:sz w:val="16"/>
              </w:rPr>
              <w:t>Outcome families</w:t>
            </w:r>
          </w:p>
        </w:tc>
      </w:tr>
      <w:tr>
        <w:trPr>
          <w:cantSplit/>
        </w:trPr>
        <w:tc>
          <w:tcPr>
            <w:tcW w:type="dxa" w:w="17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Mulch</w:t>
            </w:r>
          </w:p>
        </w:tc>
        <w:tc>
          <w:tcPr>
            <w:tcW w:type="dxa" w:w="38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Approved paper/biodegradable material, coverage, installation quality, control</w:t>
            </w:r>
          </w:p>
        </w:tc>
        <w:tc>
          <w:tcPr>
            <w:tcW w:type="dxa" w:w="38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Evaporation, soil temperature, weed pressure, emergence, degradation, yield and cost</w:t>
            </w:r>
          </w:p>
        </w:tc>
      </w:tr>
      <w:tr>
        <w:trPr>
          <w:cantSplit/>
        </w:trPr>
        <w:tc>
          <w:tcPr>
            <w:tcW w:type="dxa" w:w="17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Hydrogel</w:t>
            </w:r>
          </w:p>
        </w:tc>
        <w:tc>
          <w:tcPr>
            <w:tcW w:type="dxa" w:w="38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Agronomist-approved formulation/dose, placement, irrigation regime, control</w:t>
            </w:r>
          </w:p>
        </w:tc>
        <w:tc>
          <w:tcPr>
            <w:tcW w:type="dxa" w:w="38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Moisture retention, irrigation interval, root-zone response, biomass, yield and residue/safety checks</w:t>
            </w:r>
          </w:p>
        </w:tc>
      </w:tr>
      <w:tr>
        <w:trPr>
          <w:cantSplit/>
        </w:trPr>
        <w:tc>
          <w:tcPr>
            <w:tcW w:type="dxa" w:w="17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Organic/soil amendment</w:t>
            </w:r>
          </w:p>
        </w:tc>
        <w:tc>
          <w:tcPr>
            <w:tcW w:type="dxa" w:w="38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Approved compost/biochar/organic matter or conditioner plan</w:t>
            </w:r>
          </w:p>
        </w:tc>
        <w:tc>
          <w:tcPr>
            <w:tcW w:type="dxa" w:w="38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SOC proxy, EC/pH, infiltration, water holding, crop response and economics</w:t>
            </w:r>
          </w:p>
        </w:tc>
      </w:tr>
      <w:tr>
        <w:trPr>
          <w:cantSplit/>
        </w:trPr>
        <w:tc>
          <w:tcPr>
            <w:tcW w:type="dxa" w:w="17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Irrigation</w:t>
            </w:r>
          </w:p>
        </w:tc>
        <w:tc>
          <w:tcPr>
            <w:tcW w:type="dxa" w:w="38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Method, timing, amount, deficit strategy and treatment interaction</w:t>
            </w:r>
          </w:p>
        </w:tc>
        <w:tc>
          <w:tcPr>
            <w:tcW w:type="dxa" w:w="38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Water balance, stress hours, water-use efficiency and production</w:t>
            </w:r>
          </w:p>
        </w:tc>
      </w:tr>
      <w:tr>
        <w:trPr>
          <w:cantSplit/>
        </w:trPr>
        <w:tc>
          <w:tcPr>
            <w:tcW w:type="dxa" w:w="17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Terrain/soil operation</w:t>
            </w:r>
          </w:p>
        </w:tc>
        <w:tc>
          <w:tcPr>
            <w:tcW w:type="dxa" w:w="38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Levelling, drainage, tillage depth/intensity, traffic/control</w:t>
            </w:r>
          </w:p>
        </w:tc>
        <w:tc>
          <w:tcPr>
            <w:tcW w:type="dxa" w:w="38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Runoff, ponding, compaction, emergence uniformity and yield variability</w:t>
            </w:r>
          </w:p>
        </w:tc>
      </w:tr>
    </w:tbl>
    <w:p>
      <w:pPr>
        <w:keepNext w:val="0"/>
        <w:spacing w:before="0" w:after="40" w:line="300" w:lineRule="auto"/>
        <w:jc w:val="left"/>
      </w:pPr>
      <w:r>
        <w:rPr>
          <w:rFonts w:ascii="Calibri" w:hAnsi="Calibri" w:eastAsia="Calibri"/>
          <w:b w:val="0"/>
          <w:i w:val="0"/>
          <w:color w:val="111827"/>
          <w:sz w:val="22"/>
        </w:rPr>
      </w:r>
    </w:p>
    <w:p>
      <w:pPr>
        <w:pStyle w:val="Heading2"/>
      </w:pPr>
      <w:r>
        <w:t>5.2 Experimental design minimum</w:t>
      </w:r>
    </w:p>
    <w:p>
      <w:pPr>
        <w:numPr>
          <w:ilvl w:val="0"/>
          <w:numId w:val="10"/>
        </w:numPr>
        <w:spacing w:after="80" w:line="300" w:lineRule="auto"/>
      </w:pPr>
      <w:r>
        <w:rPr>
          <w:rFonts w:ascii="Calibri" w:hAnsi="Calibri" w:eastAsia="Calibri"/>
          <w:color w:val="111827"/>
          <w:sz w:val="22"/>
        </w:rPr>
        <w:t>Use a randomised block or agronomist-approved field design with untreated/standard-practice controls and sufficient replication.</w:t>
      </w:r>
    </w:p>
    <w:p>
      <w:pPr>
        <w:numPr>
          <w:ilvl w:val="0"/>
          <w:numId w:val="10"/>
        </w:numPr>
        <w:spacing w:after="80" w:line="300" w:lineRule="auto"/>
      </w:pPr>
      <w:r>
        <w:rPr>
          <w:rFonts w:ascii="Calibri" w:hAnsi="Calibri" w:eastAsia="Calibri"/>
          <w:color w:val="111827"/>
          <w:sz w:val="22"/>
        </w:rPr>
        <w:t>Log plot geometry before treatment; keep treatment, irrigation and sampling identities stable for the full season.</w:t>
      </w:r>
    </w:p>
    <w:p>
      <w:pPr>
        <w:numPr>
          <w:ilvl w:val="0"/>
          <w:numId w:val="10"/>
        </w:numPr>
        <w:spacing w:after="80" w:line="300" w:lineRule="auto"/>
      </w:pPr>
      <w:r>
        <w:rPr>
          <w:rFonts w:ascii="Calibri" w:hAnsi="Calibri" w:eastAsia="Calibri"/>
          <w:color w:val="111827"/>
          <w:sz w:val="22"/>
        </w:rPr>
        <w:t>Use matched sensor depths and acquisition schedules across treatment and control plots.</w:t>
      </w:r>
    </w:p>
    <w:p>
      <w:pPr>
        <w:numPr>
          <w:ilvl w:val="0"/>
          <w:numId w:val="10"/>
        </w:numPr>
        <w:spacing w:after="80" w:line="300" w:lineRule="auto"/>
      </w:pPr>
      <w:r>
        <w:rPr>
          <w:rFonts w:ascii="Calibri" w:hAnsi="Calibri" w:eastAsia="Calibri"/>
          <w:color w:val="111827"/>
          <w:sz w:val="22"/>
        </w:rPr>
        <w:t>Pre-register primary endpoints and analysis so the team does not select only favourable outcomes.</w:t>
      </w:r>
    </w:p>
    <w:p>
      <w:pPr>
        <w:numPr>
          <w:ilvl w:val="0"/>
          <w:numId w:val="10"/>
        </w:numPr>
        <w:spacing w:after="80" w:line="300" w:lineRule="auto"/>
      </w:pPr>
      <w:r>
        <w:rPr>
          <w:rFonts w:ascii="Calibri" w:hAnsi="Calibri" w:eastAsia="Calibri"/>
          <w:color w:val="111827"/>
          <w:sz w:val="22"/>
        </w:rPr>
        <w:t>Record material product, composition/grade, supplier, batch, application method, amount, installation date and safety documentation.</w:t>
      </w:r>
    </w:p>
    <w:p>
      <w:pPr>
        <w:numPr>
          <w:ilvl w:val="0"/>
          <w:numId w:val="10"/>
        </w:numPr>
        <w:spacing w:after="80" w:line="300" w:lineRule="auto"/>
      </w:pPr>
      <w:r>
        <w:rPr>
          <w:rFonts w:ascii="Calibri" w:hAnsi="Calibri" w:eastAsia="Calibri"/>
          <w:color w:val="111827"/>
          <w:sz w:val="22"/>
        </w:rPr>
        <w:t>Use an agronomist/soil scientist to approve treatment levels and a qualified lab for chemical/soil endpoints.</w:t>
      </w:r>
    </w:p>
    <w:p>
      <w:pPr>
        <w:pStyle w:val="Heading2"/>
        <w:pageBreakBefore/>
      </w:pPr>
      <w:r>
        <w:t>5.3 Treatment-effect model</w:t>
      </w:r>
    </w:p>
    <w:p>
      <w:pPr>
        <w:keepNext w:val="0"/>
        <w:spacing w:before="0" w:after="120" w:line="300" w:lineRule="auto"/>
        <w:jc w:val="left"/>
      </w:pPr>
      <w:r>
        <w:rPr>
          <w:rFonts w:ascii="Calibri" w:hAnsi="Calibri" w:eastAsia="Calibri"/>
          <w:b w:val="0"/>
          <w:i w:val="0"/>
          <w:color w:val="111827"/>
          <w:sz w:val="22"/>
        </w:rPr>
        <w:t>The primary scientific output is not merely a yield comparison. The treatment twin should estimate a time-varying response: how each treatment changes soil moisture retention, thermal behaviour, crop establishment, stress exposure, water use, yield and post-season soil condition under different weather and irrigation regimes.</w:t>
      </w:r>
    </w:p>
    <w:tbl>
      <w:tblPr>
        <w:tblStyle w:val="TableGrid"/>
        <w:tblW w:type="dxa" w:w="9360"/>
        <w:jc w:val="left"/>
        <w:tblLayout w:type="fixed"/>
        <w:tblLook w:firstColumn="1" w:firstRow="1" w:lastColumn="0" w:lastRow="0" w:noHBand="0" w:noVBand="1" w:val="04A0"/>
        <w:tblInd w:w="120" w:type="dxa"/>
      </w:tblPr>
      <w:tblGrid>
        <w:gridCol w:w="2200"/>
        <w:gridCol w:w="3300"/>
        <w:gridCol w:w="3860"/>
      </w:tblGrid>
      <w:tr>
        <w:trPr>
          <w:tblHeader w:val="true"/>
          <w:cantSplit/>
        </w:trPr>
        <w:tc>
          <w:tcPr>
            <w:tcW w:type="dxa" w:w="2200"/>
            <w:shd w:fill="E8EEF5"/>
            <w:vAlign w:val="center"/>
            <w:tcMar>
              <w:top w:w="80" w:type="dxa"/>
              <w:start w:w="120" w:type="dxa"/>
              <w:bottom w:w="80" w:type="dxa"/>
              <w:end w:w="120" w:type="dxa"/>
            </w:tcMar>
          </w:tcPr>
          <w:p>
            <w:pPr>
              <w:spacing w:after="0" w:line="252" w:lineRule="auto"/>
              <w:jc w:val="center"/>
            </w:pPr>
            <w:r>
              <w:rPr>
                <w:rFonts w:ascii="Calibri" w:hAnsi="Calibri" w:eastAsia="Calibri"/>
                <w:b/>
                <w:color w:val="0B2545"/>
                <w:sz w:val="17"/>
              </w:rPr>
              <w:t>Analysis level</w:t>
            </w:r>
          </w:p>
        </w:tc>
        <w:tc>
          <w:tcPr>
            <w:tcW w:type="dxa" w:w="3300"/>
            <w:shd w:fill="E8EEF5"/>
            <w:vAlign w:val="center"/>
            <w:tcMar>
              <w:top w:w="80" w:type="dxa"/>
              <w:start w:w="120" w:type="dxa"/>
              <w:bottom w:w="80" w:type="dxa"/>
              <w:end w:w="120" w:type="dxa"/>
            </w:tcMar>
          </w:tcPr>
          <w:p>
            <w:pPr>
              <w:spacing w:after="0" w:line="252" w:lineRule="auto"/>
              <w:jc w:val="center"/>
            </w:pPr>
            <w:r>
              <w:rPr>
                <w:rFonts w:ascii="Calibri" w:hAnsi="Calibri" w:eastAsia="Calibri"/>
                <w:b/>
                <w:color w:val="0B2545"/>
                <w:sz w:val="17"/>
              </w:rPr>
              <w:t>Recommended baseline</w:t>
            </w:r>
          </w:p>
        </w:tc>
        <w:tc>
          <w:tcPr>
            <w:tcW w:type="dxa" w:w="3860"/>
            <w:shd w:fill="E8EEF5"/>
            <w:vAlign w:val="center"/>
            <w:tcMar>
              <w:top w:w="80" w:type="dxa"/>
              <w:start w:w="120" w:type="dxa"/>
              <w:bottom w:w="80" w:type="dxa"/>
              <w:end w:w="120" w:type="dxa"/>
            </w:tcMar>
          </w:tcPr>
          <w:p>
            <w:pPr>
              <w:spacing w:after="0" w:line="252" w:lineRule="auto"/>
              <w:jc w:val="center"/>
            </w:pPr>
            <w:r>
              <w:rPr>
                <w:rFonts w:ascii="Calibri" w:hAnsi="Calibri" w:eastAsia="Calibri"/>
                <w:b/>
                <w:color w:val="0B2545"/>
                <w:sz w:val="17"/>
              </w:rPr>
              <w:t>Advanced option</w:t>
            </w:r>
          </w:p>
        </w:tc>
      </w:tr>
      <w:tr>
        <w:trPr>
          <w:cantSplit/>
        </w:trPr>
        <w:tc>
          <w:tcPr>
            <w:tcW w:type="dxa" w:w="22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Immediate sensor response</w:t>
            </w:r>
          </w:p>
        </w:tc>
        <w:tc>
          <w:tcPr>
            <w:tcW w:type="dxa" w:w="33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Treatment/control curves and area under stress threshold</w:t>
            </w:r>
          </w:p>
        </w:tc>
        <w:tc>
          <w:tcPr>
            <w:tcW w:type="dxa" w:w="38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Hierarchical state-space model</w:t>
            </w:r>
          </w:p>
        </w:tc>
      </w:tr>
      <w:tr>
        <w:trPr>
          <w:cantSplit/>
        </w:trPr>
        <w:tc>
          <w:tcPr>
            <w:tcW w:type="dxa" w:w="22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Repeated plot outcomes</w:t>
            </w:r>
          </w:p>
        </w:tc>
        <w:tc>
          <w:tcPr>
            <w:tcW w:type="dxa" w:w="33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Mixed-effects model with block/plot effects</w:t>
            </w:r>
          </w:p>
        </w:tc>
        <w:tc>
          <w:tcPr>
            <w:tcW w:type="dxa" w:w="38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Bayesian multilevel model</w:t>
            </w:r>
          </w:p>
        </w:tc>
      </w:tr>
      <w:tr>
        <w:trPr>
          <w:cantSplit/>
        </w:trPr>
        <w:tc>
          <w:tcPr>
            <w:tcW w:type="dxa" w:w="22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Intervention timing</w:t>
            </w:r>
          </w:p>
        </w:tc>
        <w:tc>
          <w:tcPr>
            <w:tcW w:type="dxa" w:w="33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Before-after plus matched control</w:t>
            </w:r>
          </w:p>
        </w:tc>
        <w:tc>
          <w:tcPr>
            <w:tcW w:type="dxa" w:w="38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Causal impact / difference-in-differences where assumptions hold</w:t>
            </w:r>
          </w:p>
        </w:tc>
      </w:tr>
      <w:tr>
        <w:trPr>
          <w:cantSplit/>
        </w:trPr>
        <w:tc>
          <w:tcPr>
            <w:tcW w:type="dxa" w:w="22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Yield and efficiency</w:t>
            </w:r>
          </w:p>
        </w:tc>
        <w:tc>
          <w:tcPr>
            <w:tcW w:type="dxa" w:w="33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ANOVA/regression with uncertainty and agronomic checks</w:t>
            </w:r>
          </w:p>
        </w:tc>
        <w:tc>
          <w:tcPr>
            <w:tcW w:type="dxa" w:w="38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Causal forest/uplift model after adequate multi-season data</w:t>
            </w:r>
          </w:p>
        </w:tc>
      </w:tr>
    </w:tbl>
    <w:p>
      <w:pPr>
        <w:keepNext w:val="0"/>
        <w:spacing w:before="0" w:after="40" w:line="300" w:lineRule="auto"/>
        <w:jc w:val="left"/>
      </w:pPr>
      <w:r>
        <w:rPr>
          <w:rFonts w:ascii="Calibri" w:hAnsi="Calibri" w:eastAsia="Calibri"/>
          <w:b w:val="0"/>
          <w:i w:val="0"/>
          <w:color w:val="111827"/>
          <w:sz w:val="22"/>
        </w:rPr>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F2F4F7"/>
            <w:tcBorders>
              <w:top w:val="nil"/>
              <w:left w:val="single" w:sz="12" w:space="0" w:color="9B1C1C"/>
              <w:bottom w:val="nil"/>
              <w:right w:val="nil"/>
            </w:tcBorders>
          </w:tcPr>
          <w:p>
            <w:pPr>
              <w:spacing w:after="40" w:line="288" w:lineRule="auto"/>
            </w:pPr>
            <w:r>
              <w:rPr>
                <w:rFonts w:ascii="Calibri" w:hAnsi="Calibri" w:eastAsia="Calibri"/>
                <w:b/>
                <w:color w:val="9B1C1C"/>
                <w:sz w:val="21"/>
              </w:rPr>
              <w:t xml:space="preserve">Safety rule. </w:t>
            </w:r>
            <w:r>
              <w:rPr>
                <w:rFonts w:ascii="Calibri" w:hAnsi="Calibri" w:eastAsia="Calibri"/>
                <w:color w:val="111827"/>
                <w:sz w:val="21"/>
              </w:rPr>
              <w:t>No material treatment is selected or applied only because a model predicts benefit. Agronomic suitability, manufacturer guidance, environmental compatibility and applicable Indian rules remain controlling constraints.</w:t>
            </w:r>
          </w:p>
        </w:tc>
      </w:tr>
    </w:tbl>
    <w:p>
      <w:pPr>
        <w:keepNext w:val="0"/>
        <w:spacing w:before="0" w:after="40" w:line="300" w:lineRule="auto"/>
        <w:jc w:val="left"/>
      </w:pPr>
      <w:r>
        <w:rPr>
          <w:rFonts w:ascii="Calibri" w:hAnsi="Calibri" w:eastAsia="Calibri"/>
          <w:b w:val="0"/>
          <w:i w:val="0"/>
          <w:color w:val="111827"/>
          <w:sz w:val="22"/>
        </w:rPr>
      </w:r>
    </w:p>
    <w:p>
      <w:pPr>
        <w:pStyle w:val="Heading1"/>
      </w:pPr>
      <w:r>
        <w:t>6. IoT, field sensing, imagery and data-quality plan</w:t>
      </w:r>
    </w:p>
    <w:p>
      <w:pPr>
        <w:pStyle w:val="Heading2"/>
      </w:pPr>
      <w:r>
        <w:t>6.1 Sensor architecture</w:t>
      </w:r>
    </w:p>
    <w:p>
      <w:pPr>
        <w:spacing w:before="120" w:after="80"/>
        <w:jc w:val="center"/>
      </w:pPr>
      <w:r>
        <w:drawing>
          <wp:inline xmlns:a="http://schemas.openxmlformats.org/drawingml/2006/main" xmlns:pic="http://schemas.openxmlformats.org/drawingml/2006/picture">
            <wp:extent cx="5715000" cy="3982386"/>
            <wp:docPr id="4" name="Picture 4" descr="Field, laboratory, imagery and operational data are quality-checked before updating the Soil360 twin and downstream predictions."/>
            <wp:cNvGraphicFramePr>
              <a:graphicFrameLocks noChangeAspect="1"/>
            </wp:cNvGraphicFramePr>
            <a:graphic>
              <a:graphicData uri="http://schemas.openxmlformats.org/drawingml/2006/picture">
                <pic:pic>
                  <pic:nvPicPr>
                    <pic:cNvPr id="0" name="agriguard_layered_architecture.png"/>
                    <pic:cNvPicPr/>
                  </pic:nvPicPr>
                  <pic:blipFill>
                    <a:blip r:embed="rId14"/>
                    <a:stretch>
                      <a:fillRect/>
                    </a:stretch>
                  </pic:blipFill>
                  <pic:spPr>
                    <a:xfrm>
                      <a:off x="0" y="0"/>
                      <a:ext cx="5715000" cy="3982386"/>
                    </a:xfrm>
                    <a:prstGeom prst="rect"/>
                  </pic:spPr>
                </pic:pic>
              </a:graphicData>
            </a:graphic>
          </wp:inline>
        </w:drawing>
      </w:r>
    </w:p>
    <w:p>
      <w:pPr>
        <w:keepNext w:val="0"/>
        <w:spacing w:before="0" w:after="160" w:line="300" w:lineRule="auto"/>
        <w:jc w:val="center"/>
      </w:pPr>
      <w:r>
        <w:rPr>
          <w:rFonts w:ascii="Calibri" w:hAnsi="Calibri" w:eastAsia="Calibri"/>
          <w:b w:val="0"/>
          <w:i/>
          <w:color w:val="667085"/>
          <w:sz w:val="18"/>
        </w:rPr>
        <w:t>Figure 4. Apollo AgriGuard layered system.</w:t>
      </w:r>
    </w:p>
    <w:tbl>
      <w:tblPr>
        <w:tblStyle w:val="TableGrid"/>
        <w:tblW w:type="dxa" w:w="9360"/>
        <w:jc w:val="left"/>
        <w:tblLayout w:type="fixed"/>
        <w:tblLook w:firstColumn="1" w:firstRow="1" w:lastColumn="0" w:lastRow="0" w:noHBand="0" w:noVBand="1" w:val="04A0"/>
        <w:tblInd w:w="120" w:type="dxa"/>
      </w:tblPr>
      <w:tblGrid>
        <w:gridCol w:w="1450"/>
        <w:gridCol w:w="4100"/>
        <w:gridCol w:w="3810"/>
      </w:tblGrid>
      <w:tr>
        <w:trPr>
          <w:tblHeader w:val="true"/>
          <w:cantSplit/>
        </w:trPr>
        <w:tc>
          <w:tcPr>
            <w:tcW w:type="dxa" w:w="1450"/>
            <w:shd w:fill="E8EEF5"/>
            <w:vAlign w:val="center"/>
            <w:tcMar>
              <w:top w:w="80" w:type="dxa"/>
              <w:start w:w="120" w:type="dxa"/>
              <w:bottom w:w="80" w:type="dxa"/>
              <w:end w:w="120" w:type="dxa"/>
            </w:tcMar>
          </w:tcPr>
          <w:p>
            <w:pPr>
              <w:spacing w:after="0" w:line="252" w:lineRule="auto"/>
              <w:jc w:val="center"/>
            </w:pPr>
            <w:r>
              <w:rPr>
                <w:rFonts w:ascii="Calibri" w:hAnsi="Calibri" w:eastAsia="Calibri"/>
                <w:b/>
                <w:color w:val="0B2545"/>
                <w:sz w:val="16"/>
              </w:rPr>
              <w:t>Layer</w:t>
            </w:r>
          </w:p>
        </w:tc>
        <w:tc>
          <w:tcPr>
            <w:tcW w:type="dxa" w:w="4100"/>
            <w:shd w:fill="E8EEF5"/>
            <w:vAlign w:val="center"/>
            <w:tcMar>
              <w:top w:w="80" w:type="dxa"/>
              <w:start w:w="120" w:type="dxa"/>
              <w:bottom w:w="80" w:type="dxa"/>
              <w:end w:w="120" w:type="dxa"/>
            </w:tcMar>
          </w:tcPr>
          <w:p>
            <w:pPr>
              <w:spacing w:after="0" w:line="252" w:lineRule="auto"/>
              <w:jc w:val="center"/>
            </w:pPr>
            <w:r>
              <w:rPr>
                <w:rFonts w:ascii="Calibri" w:hAnsi="Calibri" w:eastAsia="Calibri"/>
                <w:b/>
                <w:color w:val="0B2545"/>
                <w:sz w:val="16"/>
              </w:rPr>
              <w:t>Minimum pilot</w:t>
            </w:r>
          </w:p>
        </w:tc>
        <w:tc>
          <w:tcPr>
            <w:tcW w:type="dxa" w:w="3810"/>
            <w:shd w:fill="E8EEF5"/>
            <w:vAlign w:val="center"/>
            <w:tcMar>
              <w:top w:w="80" w:type="dxa"/>
              <w:start w:w="120" w:type="dxa"/>
              <w:bottom w:w="80" w:type="dxa"/>
              <w:end w:w="120" w:type="dxa"/>
            </w:tcMar>
          </w:tcPr>
          <w:p>
            <w:pPr>
              <w:spacing w:after="0" w:line="252" w:lineRule="auto"/>
              <w:jc w:val="center"/>
            </w:pPr>
            <w:r>
              <w:rPr>
                <w:rFonts w:ascii="Calibri" w:hAnsi="Calibri" w:eastAsia="Calibri"/>
                <w:b/>
                <w:color w:val="0B2545"/>
                <w:sz w:val="16"/>
              </w:rPr>
              <w:t>Advanced / optional</w:t>
            </w:r>
          </w:p>
        </w:tc>
      </w:tr>
      <w:tr>
        <w:trPr>
          <w:cantSplit/>
        </w:trPr>
        <w:tc>
          <w:tcPr>
            <w:tcW w:type="dxa" w:w="145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Soil</w:t>
            </w:r>
          </w:p>
        </w:tc>
        <w:tc>
          <w:tcPr>
            <w:tcW w:type="dxa" w:w="41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Calibrated moisture and temperature at crop-relevant depths; periodic pH/EC/lab tests</w:t>
            </w:r>
          </w:p>
        </w:tc>
        <w:tc>
          <w:tcPr>
            <w:tcW w:type="dxa" w:w="381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Tensiometers, profile probes, compaction/infiltration, EC mapping</w:t>
            </w:r>
          </w:p>
        </w:tc>
      </w:tr>
      <w:tr>
        <w:trPr>
          <w:cantSplit/>
        </w:trPr>
        <w:tc>
          <w:tcPr>
            <w:tcW w:type="dxa" w:w="145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Weather</w:t>
            </w:r>
          </w:p>
        </w:tc>
        <w:tc>
          <w:tcPr>
            <w:tcW w:type="dxa" w:w="41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Air temperature/humidity, rainfall, wind, pressure; solar radiation if available</w:t>
            </w:r>
          </w:p>
        </w:tc>
        <w:tc>
          <w:tcPr>
            <w:tcW w:type="dxa" w:w="381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Leaf wetness, canopy temperature, reference station redundancy</w:t>
            </w:r>
          </w:p>
        </w:tc>
      </w:tr>
      <w:tr>
        <w:trPr>
          <w:cantSplit/>
        </w:trPr>
        <w:tc>
          <w:tcPr>
            <w:tcW w:type="dxa" w:w="145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Water system</w:t>
            </w:r>
          </w:p>
        </w:tc>
        <w:tc>
          <w:tcPr>
            <w:tcW w:type="dxa" w:w="41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Flow and runtime; tank/line state; irrigation event log</w:t>
            </w:r>
          </w:p>
        </w:tc>
        <w:tc>
          <w:tcPr>
            <w:tcW w:type="dxa" w:w="381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Pressure, valve state, pump energy and zone-level metering</w:t>
            </w:r>
          </w:p>
        </w:tc>
      </w:tr>
      <w:tr>
        <w:trPr>
          <w:cantSplit/>
        </w:trPr>
        <w:tc>
          <w:tcPr>
            <w:tcW w:type="dxa" w:w="145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Vision</w:t>
            </w:r>
          </w:p>
        </w:tc>
        <w:tc>
          <w:tcPr>
            <w:tcW w:type="dxa" w:w="41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Fixed RGB or repeatable phone capture and field scouting images</w:t>
            </w:r>
          </w:p>
        </w:tc>
        <w:tc>
          <w:tcPr>
            <w:tcW w:type="dxa" w:w="381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Thermal, multispectral, drone or rover imaging</w:t>
            </w:r>
          </w:p>
        </w:tc>
      </w:tr>
      <w:tr>
        <w:trPr>
          <w:cantSplit/>
        </w:trPr>
        <w:tc>
          <w:tcPr>
            <w:tcW w:type="dxa" w:w="145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Location</w:t>
            </w:r>
          </w:p>
        </w:tc>
        <w:tc>
          <w:tcPr>
            <w:tcW w:type="dxa" w:w="41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Surveyed field/plot polygons and sensor coordinates</w:t>
            </w:r>
          </w:p>
        </w:tc>
        <w:tc>
          <w:tcPr>
            <w:tcW w:type="dxa" w:w="381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RTK GNSS and detailed DEM</w:t>
            </w:r>
          </w:p>
        </w:tc>
      </w:tr>
      <w:tr>
        <w:trPr>
          <w:cantSplit/>
        </w:trPr>
        <w:tc>
          <w:tcPr>
            <w:tcW w:type="dxa" w:w="145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Gateway</w:t>
            </w:r>
          </w:p>
        </w:tc>
        <w:tc>
          <w:tcPr>
            <w:tcW w:type="dxa" w:w="41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ESP32-class nodes plus buffered MQTT gateway and local clock checks</w:t>
            </w:r>
          </w:p>
        </w:tc>
        <w:tc>
          <w:tcPr>
            <w:tcW w:type="dxa" w:w="381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LoRaWAN, solar edge gateway and on-device inference</w:t>
            </w:r>
          </w:p>
        </w:tc>
      </w:tr>
    </w:tbl>
    <w:p>
      <w:pPr>
        <w:keepNext w:val="0"/>
        <w:spacing w:before="0" w:after="40" w:line="300" w:lineRule="auto"/>
        <w:jc w:val="left"/>
      </w:pPr>
      <w:r>
        <w:rPr>
          <w:rFonts w:ascii="Calibri" w:hAnsi="Calibri" w:eastAsia="Calibri"/>
          <w:b w:val="0"/>
          <w:i w:val="0"/>
          <w:color w:val="111827"/>
          <w:sz w:val="22"/>
        </w:rPr>
      </w:r>
    </w:p>
    <w:p>
      <w:pPr>
        <w:pStyle w:val="Heading2"/>
      </w:pPr>
      <w:r>
        <w:t>6.2 Sensor-to-twin pipeline</w:t>
      </w:r>
    </w:p>
    <w:p>
      <w:pPr>
        <w:numPr>
          <w:ilvl w:val="0"/>
          <w:numId w:val="13"/>
        </w:numPr>
        <w:spacing w:after="80" w:line="300" w:lineRule="auto"/>
      </w:pPr>
      <w:r>
        <w:rPr>
          <w:rFonts w:ascii="Calibri" w:hAnsi="Calibri" w:eastAsia="Calibri"/>
          <w:color w:val="111827"/>
          <w:sz w:val="22"/>
        </w:rPr>
        <w:t>Capture raw value, device ID, location, depth, timestamp, battery and calibration version.</w:t>
      </w:r>
    </w:p>
    <w:p>
      <w:pPr>
        <w:numPr>
          <w:ilvl w:val="0"/>
          <w:numId w:val="13"/>
        </w:numPr>
        <w:spacing w:after="80" w:line="300" w:lineRule="auto"/>
      </w:pPr>
      <w:r>
        <w:rPr>
          <w:rFonts w:ascii="Calibri" w:hAnsi="Calibri" w:eastAsia="Calibri"/>
          <w:color w:val="111827"/>
          <w:sz w:val="22"/>
        </w:rPr>
        <w:t>Buffer locally during connectivity loss; preserve acquisition time separately from arrival time.</w:t>
      </w:r>
    </w:p>
    <w:p>
      <w:pPr>
        <w:numPr>
          <w:ilvl w:val="0"/>
          <w:numId w:val="13"/>
        </w:numPr>
        <w:spacing w:after="80" w:line="300" w:lineRule="auto"/>
      </w:pPr>
      <w:r>
        <w:rPr>
          <w:rFonts w:ascii="Calibri" w:hAnsi="Calibri" w:eastAsia="Calibri"/>
          <w:color w:val="111827"/>
          <w:sz w:val="22"/>
        </w:rPr>
        <w:t>Validate schema, units, range, rate of change and duplicate event ID.</w:t>
      </w:r>
    </w:p>
    <w:p>
      <w:pPr>
        <w:numPr>
          <w:ilvl w:val="0"/>
          <w:numId w:val="13"/>
        </w:numPr>
        <w:spacing w:after="80" w:line="300" w:lineRule="auto"/>
      </w:pPr>
      <w:r>
        <w:rPr>
          <w:rFonts w:ascii="Calibri" w:hAnsi="Calibri" w:eastAsia="Calibri"/>
          <w:color w:val="111827"/>
          <w:sz w:val="22"/>
        </w:rPr>
        <w:t>Assign quality flag: valid, suspect, corrected, missing, stale or rejected.</w:t>
      </w:r>
    </w:p>
    <w:p>
      <w:pPr>
        <w:numPr>
          <w:ilvl w:val="0"/>
          <w:numId w:val="13"/>
        </w:numPr>
        <w:spacing w:after="80" w:line="300" w:lineRule="auto"/>
      </w:pPr>
      <w:r>
        <w:rPr>
          <w:rFonts w:ascii="Calibri" w:hAnsi="Calibri" w:eastAsia="Calibri"/>
          <w:color w:val="111827"/>
          <w:sz w:val="22"/>
        </w:rPr>
        <w:t>Store immutable raw observation; create corrected/derived observation as a new record.</w:t>
      </w:r>
    </w:p>
    <w:p>
      <w:pPr>
        <w:numPr>
          <w:ilvl w:val="0"/>
          <w:numId w:val="13"/>
        </w:numPr>
        <w:spacing w:after="80" w:line="300" w:lineRule="auto"/>
      </w:pPr>
      <w:r>
        <w:rPr>
          <w:rFonts w:ascii="Calibri" w:hAnsi="Calibri" w:eastAsia="Calibri"/>
          <w:color w:val="111827"/>
          <w:sz w:val="22"/>
        </w:rPr>
        <w:t>Update state estimator; trigger only models whose required evidence has changed.</w:t>
      </w:r>
    </w:p>
    <w:p>
      <w:pPr>
        <w:numPr>
          <w:ilvl w:val="0"/>
          <w:numId w:val="13"/>
        </w:numPr>
        <w:spacing w:after="80" w:line="300" w:lineRule="auto"/>
      </w:pPr>
      <w:r>
        <w:rPr>
          <w:rFonts w:ascii="Calibri" w:hAnsi="Calibri" w:eastAsia="Calibri"/>
          <w:color w:val="111827"/>
          <w:sz w:val="22"/>
        </w:rPr>
        <w:t>Write prediction, explanation and any alert back into the same entity timeline.</w:t>
      </w:r>
    </w:p>
    <w:p>
      <w:pPr>
        <w:pStyle w:val="Heading2"/>
      </w:pPr>
      <w:r>
        <w:t>6.3 Data-quality and calibration rules</w:t>
      </w:r>
    </w:p>
    <w:p>
      <w:pPr>
        <w:numPr>
          <w:ilvl w:val="0"/>
          <w:numId w:val="10"/>
        </w:numPr>
        <w:spacing w:after="80" w:line="300" w:lineRule="auto"/>
      </w:pPr>
      <w:r>
        <w:rPr>
          <w:rFonts w:ascii="Calibri" w:hAnsi="Calibri" w:eastAsia="Calibri"/>
          <w:color w:val="111827"/>
          <w:sz w:val="22"/>
        </w:rPr>
        <w:t>Use SI or explicitly registered agronomic units; never mix percentages, fractions, mm and volumetric content silently.</w:t>
      </w:r>
    </w:p>
    <w:p>
      <w:pPr>
        <w:numPr>
          <w:ilvl w:val="0"/>
          <w:numId w:val="10"/>
        </w:numPr>
        <w:spacing w:after="80" w:line="300" w:lineRule="auto"/>
      </w:pPr>
      <w:r>
        <w:rPr>
          <w:rFonts w:ascii="Calibri" w:hAnsi="Calibri" w:eastAsia="Calibri"/>
          <w:color w:val="111827"/>
          <w:sz w:val="22"/>
        </w:rPr>
        <w:t>Store sensor depth and installation method; a moisture number without depth is incomplete evidence.</w:t>
      </w:r>
    </w:p>
    <w:p>
      <w:pPr>
        <w:numPr>
          <w:ilvl w:val="0"/>
          <w:numId w:val="10"/>
        </w:numPr>
        <w:spacing w:after="80" w:line="300" w:lineRule="auto"/>
      </w:pPr>
      <w:r>
        <w:rPr>
          <w:rFonts w:ascii="Calibri" w:hAnsi="Calibri" w:eastAsia="Calibri"/>
          <w:color w:val="111827"/>
          <w:sz w:val="22"/>
        </w:rPr>
        <w:t>Calibrate moisture probes against local soil samples across the expected wet-dry range.</w:t>
      </w:r>
    </w:p>
    <w:p>
      <w:pPr>
        <w:numPr>
          <w:ilvl w:val="0"/>
          <w:numId w:val="10"/>
        </w:numPr>
        <w:spacing w:after="80" w:line="300" w:lineRule="auto"/>
      </w:pPr>
      <w:r>
        <w:rPr>
          <w:rFonts w:ascii="Calibri" w:hAnsi="Calibri" w:eastAsia="Calibri"/>
          <w:color w:val="111827"/>
          <w:sz w:val="22"/>
        </w:rPr>
        <w:t>Do not train with values generated by a failed sensor as though they were ground truth.</w:t>
      </w:r>
    </w:p>
    <w:p>
      <w:pPr>
        <w:numPr>
          <w:ilvl w:val="0"/>
          <w:numId w:val="10"/>
        </w:numPr>
        <w:spacing w:after="80" w:line="300" w:lineRule="auto"/>
      </w:pPr>
      <w:r>
        <w:rPr>
          <w:rFonts w:ascii="Calibri" w:hAnsi="Calibri" w:eastAsia="Calibri"/>
          <w:color w:val="111827"/>
          <w:sz w:val="22"/>
        </w:rPr>
        <w:t>Monitor sensor uptime, drift, stuck values, cross-sensor disagreement and clock skew.</w:t>
      </w:r>
    </w:p>
    <w:p>
      <w:pPr>
        <w:numPr>
          <w:ilvl w:val="0"/>
          <w:numId w:val="10"/>
        </w:numPr>
        <w:spacing w:after="80" w:line="300" w:lineRule="auto"/>
      </w:pPr>
      <w:r>
        <w:rPr>
          <w:rFonts w:ascii="Calibri" w:hAnsi="Calibri" w:eastAsia="Calibri"/>
          <w:color w:val="111827"/>
          <w:sz w:val="22"/>
        </w:rPr>
        <w:t>Design offline-first: dashboard and alerts degrade gracefully when cloud or internet is unavailable.</w:t>
      </w:r>
    </w:p>
    <w:p>
      <w:pPr>
        <w:pStyle w:val="Heading1"/>
      </w:pPr>
      <w:r>
        <w:t>7. Hierarchical digital-twin data model and operational ledger</w:t>
      </w:r>
    </w:p>
    <w:p>
      <w:pPr>
        <w:pStyle w:val="Heading2"/>
      </w:pPr>
      <w:r>
        <w:t>7.1 Core entity graph</w:t>
      </w:r>
    </w:p>
    <w:tbl>
      <w:tblPr>
        <w:tblStyle w:val="TableGrid"/>
        <w:tblW w:type="dxa" w:w="9360"/>
        <w:jc w:val="left"/>
        <w:tblLayout w:type="fixed"/>
        <w:tblLook w:firstColumn="1" w:firstRow="1" w:lastColumn="0" w:lastRow="0" w:noHBand="0" w:noVBand="1" w:val="04A0"/>
        <w:tblInd w:w="120" w:type="dxa"/>
      </w:tblPr>
      <w:tblGrid>
        <w:gridCol w:w="1700"/>
        <w:gridCol w:w="3550"/>
        <w:gridCol w:w="4110"/>
      </w:tblGrid>
      <w:tr>
        <w:trPr>
          <w:tblHeader w:val="true"/>
          <w:cantSplit/>
        </w:trPr>
        <w:tc>
          <w:tcPr>
            <w:tcW w:type="dxa" w:w="1700"/>
            <w:shd w:fill="E8EEF5"/>
            <w:vAlign w:val="center"/>
            <w:tcMar>
              <w:top w:w="80" w:type="dxa"/>
              <w:start w:w="120" w:type="dxa"/>
              <w:bottom w:w="80" w:type="dxa"/>
              <w:end w:w="120" w:type="dxa"/>
            </w:tcMar>
          </w:tcPr>
          <w:p>
            <w:pPr>
              <w:spacing w:after="0" w:line="252" w:lineRule="auto"/>
              <w:jc w:val="center"/>
            </w:pPr>
            <w:r>
              <w:rPr>
                <w:rFonts w:ascii="Calibri" w:hAnsi="Calibri" w:eastAsia="Calibri"/>
                <w:b/>
                <w:color w:val="0B2545"/>
                <w:sz w:val="16"/>
              </w:rPr>
              <w:t>Entity</w:t>
            </w:r>
          </w:p>
        </w:tc>
        <w:tc>
          <w:tcPr>
            <w:tcW w:type="dxa" w:w="3550"/>
            <w:shd w:fill="E8EEF5"/>
            <w:vAlign w:val="center"/>
            <w:tcMar>
              <w:top w:w="80" w:type="dxa"/>
              <w:start w:w="120" w:type="dxa"/>
              <w:bottom w:w="80" w:type="dxa"/>
              <w:end w:w="120" w:type="dxa"/>
            </w:tcMar>
          </w:tcPr>
          <w:p>
            <w:pPr>
              <w:spacing w:after="0" w:line="252" w:lineRule="auto"/>
              <w:jc w:val="center"/>
            </w:pPr>
            <w:r>
              <w:rPr>
                <w:rFonts w:ascii="Calibri" w:hAnsi="Calibri" w:eastAsia="Calibri"/>
                <w:b/>
                <w:color w:val="0B2545"/>
                <w:sz w:val="16"/>
              </w:rPr>
              <w:t>Purpose</w:t>
            </w:r>
          </w:p>
        </w:tc>
        <w:tc>
          <w:tcPr>
            <w:tcW w:type="dxa" w:w="4110"/>
            <w:shd w:fill="E8EEF5"/>
            <w:vAlign w:val="center"/>
            <w:tcMar>
              <w:top w:w="80" w:type="dxa"/>
              <w:start w:w="120" w:type="dxa"/>
              <w:bottom w:w="80" w:type="dxa"/>
              <w:end w:w="120" w:type="dxa"/>
            </w:tcMar>
          </w:tcPr>
          <w:p>
            <w:pPr>
              <w:spacing w:after="0" w:line="252" w:lineRule="auto"/>
              <w:jc w:val="center"/>
            </w:pPr>
            <w:r>
              <w:rPr>
                <w:rFonts w:ascii="Calibri" w:hAnsi="Calibri" w:eastAsia="Calibri"/>
                <w:b/>
                <w:color w:val="0B2545"/>
                <w:sz w:val="16"/>
              </w:rPr>
              <w:t>Key relationships</w:t>
            </w:r>
          </w:p>
        </w:tc>
      </w:tr>
      <w:tr>
        <w:trPr>
          <w:cantSplit/>
        </w:trPr>
        <w:tc>
          <w:tcPr>
            <w:tcW w:type="dxa" w:w="17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Farm</w:t>
            </w:r>
          </w:p>
        </w:tc>
        <w:tc>
          <w:tcPr>
            <w:tcW w:type="dxa" w:w="355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Ownership, location, timezone, resources and seasons</w:t>
            </w:r>
          </w:p>
        </w:tc>
        <w:tc>
          <w:tcPr>
            <w:tcW w:type="dxa" w:w="411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Contains fields, assets, users and weather context</w:t>
            </w:r>
          </w:p>
        </w:tc>
      </w:tr>
      <w:tr>
        <w:trPr>
          <w:cantSplit/>
        </w:trPr>
        <w:tc>
          <w:tcPr>
            <w:tcW w:type="dxa" w:w="17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Field</w:t>
            </w:r>
          </w:p>
        </w:tc>
        <w:tc>
          <w:tcPr>
            <w:tcW w:type="dxa" w:w="355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Stable cultivated boundary and terrain/soil baseline</w:t>
            </w:r>
          </w:p>
        </w:tc>
        <w:tc>
          <w:tcPr>
            <w:tcW w:type="dxa" w:w="411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Contains plots/zones and crop cycles</w:t>
            </w:r>
          </w:p>
        </w:tc>
      </w:tr>
      <w:tr>
        <w:trPr>
          <w:cantSplit/>
        </w:trPr>
        <w:tc>
          <w:tcPr>
            <w:tcW w:type="dxa" w:w="17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Plot / Zone</w:t>
            </w:r>
          </w:p>
        </w:tc>
        <w:tc>
          <w:tcPr>
            <w:tcW w:type="dxa" w:w="355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Experimental plot or management unit</w:t>
            </w:r>
          </w:p>
        </w:tc>
        <w:tc>
          <w:tcPr>
            <w:tcW w:type="dxa" w:w="411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Has treatment, sensors, state, predictions, alerts and tasks</w:t>
            </w:r>
          </w:p>
        </w:tc>
      </w:tr>
      <w:tr>
        <w:trPr>
          <w:cantSplit/>
        </w:trPr>
        <w:tc>
          <w:tcPr>
            <w:tcW w:type="dxa" w:w="17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PlantSample / RowStand</w:t>
            </w:r>
          </w:p>
        </w:tc>
        <w:tc>
          <w:tcPr>
            <w:tcW w:type="dxa" w:w="355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Detailed biological unit or dense-crop population</w:t>
            </w:r>
          </w:p>
        </w:tc>
        <w:tc>
          <w:tcPr>
            <w:tcW w:type="dxa" w:w="411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Belongs to plot/zone and crop cycle</w:t>
            </w:r>
          </w:p>
        </w:tc>
      </w:tr>
      <w:tr>
        <w:trPr>
          <w:cantSplit/>
        </w:trPr>
        <w:tc>
          <w:tcPr>
            <w:tcW w:type="dxa" w:w="17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CropCycle</w:t>
            </w:r>
          </w:p>
        </w:tc>
        <w:tc>
          <w:tcPr>
            <w:tcW w:type="dxa" w:w="355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Crop, variety, dates, growth stages and target</w:t>
            </w:r>
          </w:p>
        </w:tc>
        <w:tc>
          <w:tcPr>
            <w:tcW w:type="dxa" w:w="411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Links season, plots, operations, models and harvest</w:t>
            </w:r>
          </w:p>
        </w:tc>
      </w:tr>
      <w:tr>
        <w:trPr>
          <w:cantSplit/>
        </w:trPr>
        <w:tc>
          <w:tcPr>
            <w:tcW w:type="dxa" w:w="17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Treatment</w:t>
            </w:r>
          </w:p>
        </w:tc>
        <w:tc>
          <w:tcPr>
            <w:tcW w:type="dxa" w:w="355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Mulch, hydrogel, amendment, irrigation or operation design</w:t>
            </w:r>
          </w:p>
        </w:tc>
        <w:tc>
          <w:tcPr>
            <w:tcW w:type="dxa" w:w="411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Applied through verified operation events</w:t>
            </w:r>
          </w:p>
        </w:tc>
      </w:tr>
      <w:tr>
        <w:trPr>
          <w:cantSplit/>
        </w:trPr>
        <w:tc>
          <w:tcPr>
            <w:tcW w:type="dxa" w:w="17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Observation</w:t>
            </w:r>
          </w:p>
        </w:tc>
        <w:tc>
          <w:tcPr>
            <w:tcW w:type="dxa" w:w="355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Raw/corrected lab, sensor, vision, weather or field measurement</w:t>
            </w:r>
          </w:p>
        </w:tc>
        <w:tc>
          <w:tcPr>
            <w:tcW w:type="dxa" w:w="411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Carries unit, location, time, depth, quality and provenance</w:t>
            </w:r>
          </w:p>
        </w:tc>
      </w:tr>
      <w:tr>
        <w:trPr>
          <w:cantSplit/>
        </w:trPr>
        <w:tc>
          <w:tcPr>
            <w:tcW w:type="dxa" w:w="17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Prediction</w:t>
            </w:r>
          </w:p>
        </w:tc>
        <w:tc>
          <w:tcPr>
            <w:tcW w:type="dxa" w:w="355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State forecast with horizon, interval, version and explanation</w:t>
            </w:r>
          </w:p>
        </w:tc>
        <w:tc>
          <w:tcPr>
            <w:tcW w:type="dxa" w:w="411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May create alert/recommendation</w:t>
            </w:r>
          </w:p>
        </w:tc>
      </w:tr>
      <w:tr>
        <w:trPr>
          <w:cantSplit/>
        </w:trPr>
        <w:tc>
          <w:tcPr>
            <w:tcW w:type="dxa" w:w="17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Task</w:t>
            </w:r>
          </w:p>
        </w:tc>
        <w:tc>
          <w:tcPr>
            <w:tcW w:type="dxa" w:w="355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Planned-to-verified human or robot work</w:t>
            </w:r>
          </w:p>
        </w:tc>
        <w:tc>
          <w:tcPr>
            <w:tcW w:type="dxa" w:w="411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Links recommendation, operator, evidence and outcome</w:t>
            </w:r>
          </w:p>
        </w:tc>
      </w:tr>
      <w:tr>
        <w:trPr>
          <w:cantSplit/>
        </w:trPr>
        <w:tc>
          <w:tcPr>
            <w:tcW w:type="dxa" w:w="17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HarvestRecord</w:t>
            </w:r>
          </w:p>
        </w:tc>
        <w:tc>
          <w:tcPr>
            <w:tcW w:type="dxa" w:w="355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Measured quantity, quality, loss and location</w:t>
            </w:r>
          </w:p>
        </w:tc>
        <w:tc>
          <w:tcPr>
            <w:tcW w:type="dxa" w:w="411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Closes forecast and treatment evaluation loop</w:t>
            </w:r>
          </w:p>
        </w:tc>
      </w:tr>
    </w:tbl>
    <w:p>
      <w:pPr>
        <w:keepNext w:val="0"/>
        <w:spacing w:before="0" w:after="40" w:line="300" w:lineRule="auto"/>
        <w:jc w:val="left"/>
      </w:pPr>
      <w:r>
        <w:rPr>
          <w:rFonts w:ascii="Calibri" w:hAnsi="Calibri" w:eastAsia="Calibri"/>
          <w:b w:val="0"/>
          <w:i w:val="0"/>
          <w:color w:val="111827"/>
          <w:sz w:val="22"/>
        </w:rPr>
      </w:r>
    </w:p>
    <w:p>
      <w:pPr>
        <w:pStyle w:val="Heading2"/>
      </w:pPr>
      <w:r>
        <w:t>7.2 Task and event state machine</w:t>
      </w:r>
    </w:p>
    <w:p>
      <w:pPr>
        <w:keepNext w:val="0"/>
        <w:spacing w:before="0" w:after="120" w:line="300" w:lineRule="auto"/>
        <w:jc w:val="left"/>
      </w:pPr>
      <w:r>
        <w:rPr>
          <w:rFonts w:ascii="Calibri" w:hAnsi="Calibri" w:eastAsia="Calibri"/>
          <w:b w:val="0"/>
          <w:i w:val="0"/>
          <w:color w:val="111827"/>
          <w:sz w:val="22"/>
        </w:rPr>
        <w:t>Every operation—sampling, tillage, mulch installation, sowing, irrigation, scouting, spraying, weeding or harvesting—must become a timestamped FarmOperation event. The ML engine may use verified operations as features; it must never infer that a recommended task was executed merely because it was created.</w:t>
      </w:r>
    </w:p>
    <w:tbl>
      <w:tblPr>
        <w:tblStyle w:val="TableGrid"/>
        <w:tblW w:type="dxa" w:w="9360"/>
        <w:jc w:val="left"/>
        <w:tblLayout w:type="fixed"/>
        <w:tblLook w:firstColumn="1" w:firstRow="1" w:lastColumn="0" w:lastRow="0" w:noHBand="0" w:noVBand="1" w:val="04A0"/>
        <w:tblInd w:w="120" w:type="dxa"/>
      </w:tblPr>
      <w:tblGrid>
        <w:gridCol w:w="1450"/>
        <w:gridCol w:w="3950"/>
        <w:gridCol w:w="3960"/>
      </w:tblGrid>
      <w:tr>
        <w:trPr>
          <w:tblHeader w:val="true"/>
          <w:cantSplit/>
        </w:trPr>
        <w:tc>
          <w:tcPr>
            <w:tcW w:type="dxa" w:w="1450"/>
            <w:shd w:fill="E8EEF5"/>
            <w:vAlign w:val="center"/>
            <w:tcMar>
              <w:top w:w="80" w:type="dxa"/>
              <w:start w:w="120" w:type="dxa"/>
              <w:bottom w:w="80" w:type="dxa"/>
              <w:end w:w="120" w:type="dxa"/>
            </w:tcMar>
          </w:tcPr>
          <w:p>
            <w:pPr>
              <w:spacing w:after="0" w:line="252" w:lineRule="auto"/>
              <w:jc w:val="center"/>
            </w:pPr>
            <w:r>
              <w:rPr>
                <w:rFonts w:ascii="Calibri" w:hAnsi="Calibri" w:eastAsia="Calibri"/>
                <w:b/>
                <w:color w:val="0B2545"/>
                <w:sz w:val="17"/>
              </w:rPr>
              <w:t>State</w:t>
            </w:r>
          </w:p>
        </w:tc>
        <w:tc>
          <w:tcPr>
            <w:tcW w:type="dxa" w:w="3950"/>
            <w:shd w:fill="E8EEF5"/>
            <w:vAlign w:val="center"/>
            <w:tcMar>
              <w:top w:w="80" w:type="dxa"/>
              <w:start w:w="120" w:type="dxa"/>
              <w:bottom w:w="80" w:type="dxa"/>
              <w:end w:w="120" w:type="dxa"/>
            </w:tcMar>
          </w:tcPr>
          <w:p>
            <w:pPr>
              <w:spacing w:after="0" w:line="252" w:lineRule="auto"/>
              <w:jc w:val="center"/>
            </w:pPr>
            <w:r>
              <w:rPr>
                <w:rFonts w:ascii="Calibri" w:hAnsi="Calibri" w:eastAsia="Calibri"/>
                <w:b/>
                <w:color w:val="0B2545"/>
                <w:sz w:val="17"/>
              </w:rPr>
              <w:t>Required information</w:t>
            </w:r>
          </w:p>
        </w:tc>
        <w:tc>
          <w:tcPr>
            <w:tcW w:type="dxa" w:w="3960"/>
            <w:shd w:fill="E8EEF5"/>
            <w:vAlign w:val="center"/>
            <w:tcMar>
              <w:top w:w="80" w:type="dxa"/>
              <w:start w:w="120" w:type="dxa"/>
              <w:bottom w:w="80" w:type="dxa"/>
              <w:end w:w="120" w:type="dxa"/>
            </w:tcMar>
          </w:tcPr>
          <w:p>
            <w:pPr>
              <w:spacing w:after="0" w:line="252" w:lineRule="auto"/>
              <w:jc w:val="center"/>
            </w:pPr>
            <w:r>
              <w:rPr>
                <w:rFonts w:ascii="Calibri" w:hAnsi="Calibri" w:eastAsia="Calibri"/>
                <w:b/>
                <w:color w:val="0B2545"/>
                <w:sz w:val="17"/>
              </w:rPr>
              <w:t>Twin effect</w:t>
            </w:r>
          </w:p>
        </w:tc>
      </w:tr>
      <w:tr>
        <w:trPr>
          <w:cantSplit/>
        </w:trPr>
        <w:tc>
          <w:tcPr>
            <w:tcW w:type="dxa" w:w="145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Planned</w:t>
            </w:r>
          </w:p>
        </w:tc>
        <w:tc>
          <w:tcPr>
            <w:tcW w:type="dxa" w:w="395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Target, time window, reason, owner and approval rule</w:t>
            </w:r>
          </w:p>
        </w:tc>
        <w:tc>
          <w:tcPr>
            <w:tcW w:type="dxa" w:w="39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No physical state change</w:t>
            </w:r>
          </w:p>
        </w:tc>
      </w:tr>
      <w:tr>
        <w:trPr>
          <w:cantSplit/>
        </w:trPr>
        <w:tc>
          <w:tcPr>
            <w:tcW w:type="dxa" w:w="145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Assigned</w:t>
            </w:r>
          </w:p>
        </w:tc>
        <w:tc>
          <w:tcPr>
            <w:tcW w:type="dxa" w:w="395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Person or mission executor</w:t>
            </w:r>
          </w:p>
        </w:tc>
        <w:tc>
          <w:tcPr>
            <w:tcW w:type="dxa" w:w="39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Resource reserved</w:t>
            </w:r>
          </w:p>
        </w:tc>
      </w:tr>
      <w:tr>
        <w:trPr>
          <w:cantSplit/>
        </w:trPr>
        <w:tc>
          <w:tcPr>
            <w:tcW w:type="dxa" w:w="145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Started</w:t>
            </w:r>
          </w:p>
        </w:tc>
        <w:tc>
          <w:tcPr>
            <w:tcW w:type="dxa" w:w="395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Actual start, executor and location</w:t>
            </w:r>
          </w:p>
        </w:tc>
        <w:tc>
          <w:tcPr>
            <w:tcW w:type="dxa" w:w="39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Operation in progress</w:t>
            </w:r>
          </w:p>
        </w:tc>
      </w:tr>
      <w:tr>
        <w:trPr>
          <w:cantSplit/>
        </w:trPr>
        <w:tc>
          <w:tcPr>
            <w:tcW w:type="dxa" w:w="145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Completed</w:t>
            </w:r>
          </w:p>
        </w:tc>
        <w:tc>
          <w:tcPr>
            <w:tcW w:type="dxa" w:w="395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Actual end, materials/amounts and execution evidence</w:t>
            </w:r>
          </w:p>
        </w:tc>
        <w:tc>
          <w:tcPr>
            <w:tcW w:type="dxa" w:w="39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Candidate state transition</w:t>
            </w:r>
          </w:p>
        </w:tc>
      </w:tr>
      <w:tr>
        <w:trPr>
          <w:cantSplit/>
        </w:trPr>
        <w:tc>
          <w:tcPr>
            <w:tcW w:type="dxa" w:w="145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Verified</w:t>
            </w:r>
          </w:p>
        </w:tc>
        <w:tc>
          <w:tcPr>
            <w:tcW w:type="dxa" w:w="395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Human/sensor confirmation and outcome</w:t>
            </w:r>
          </w:p>
        </w:tc>
        <w:tc>
          <w:tcPr>
            <w:tcW w:type="dxa" w:w="39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Authoritative management event for models</w:t>
            </w:r>
          </w:p>
        </w:tc>
      </w:tr>
      <w:tr>
        <w:trPr>
          <w:cantSplit/>
        </w:trPr>
        <w:tc>
          <w:tcPr>
            <w:tcW w:type="dxa" w:w="145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Failed/cancelled</w:t>
            </w:r>
          </w:p>
        </w:tc>
        <w:tc>
          <w:tcPr>
            <w:tcW w:type="dxa" w:w="395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Reason, partial action and residual risk</w:t>
            </w:r>
          </w:p>
        </w:tc>
        <w:tc>
          <w:tcPr>
            <w:tcW w:type="dxa" w:w="39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No assumed completion; may re-alert</w:t>
            </w:r>
          </w:p>
        </w:tc>
      </w:tr>
    </w:tbl>
    <w:p>
      <w:pPr>
        <w:keepNext w:val="0"/>
        <w:spacing w:before="0" w:after="40" w:line="300" w:lineRule="auto"/>
        <w:jc w:val="left"/>
      </w:pPr>
      <w:r>
        <w:rPr>
          <w:rFonts w:ascii="Calibri" w:hAnsi="Calibri" w:eastAsia="Calibri"/>
          <w:b w:val="0"/>
          <w:i w:val="0"/>
          <w:color w:val="111827"/>
          <w:sz w:val="22"/>
        </w:rPr>
      </w:r>
    </w:p>
    <w:p>
      <w:pPr>
        <w:pStyle w:val="Heading2"/>
      </w:pPr>
      <w:r>
        <w:t>7.3 Digital twin invariants</w:t>
      </w:r>
    </w:p>
    <w:p>
      <w:pPr>
        <w:numPr>
          <w:ilvl w:val="0"/>
          <w:numId w:val="10"/>
        </w:numPr>
        <w:spacing w:after="80" w:line="300" w:lineRule="auto"/>
      </w:pPr>
      <w:r>
        <w:rPr>
          <w:rFonts w:ascii="Calibri" w:hAnsi="Calibri" w:eastAsia="Calibri"/>
          <w:color w:val="111827"/>
          <w:sz w:val="22"/>
        </w:rPr>
        <w:t>IDs are stable; display names may change.</w:t>
      </w:r>
    </w:p>
    <w:p>
      <w:pPr>
        <w:numPr>
          <w:ilvl w:val="0"/>
          <w:numId w:val="10"/>
        </w:numPr>
        <w:spacing w:after="80" w:line="300" w:lineRule="auto"/>
      </w:pPr>
      <w:r>
        <w:rPr>
          <w:rFonts w:ascii="Calibri" w:hAnsi="Calibri" w:eastAsia="Calibri"/>
          <w:color w:val="111827"/>
          <w:sz w:val="22"/>
        </w:rPr>
        <w:t>Every value has units, time, source, quality and spatial scope.</w:t>
      </w:r>
    </w:p>
    <w:p>
      <w:pPr>
        <w:numPr>
          <w:ilvl w:val="0"/>
          <w:numId w:val="10"/>
        </w:numPr>
        <w:spacing w:after="80" w:line="300" w:lineRule="auto"/>
      </w:pPr>
      <w:r>
        <w:rPr>
          <w:rFonts w:ascii="Calibri" w:hAnsi="Calibri" w:eastAsia="Calibri"/>
          <w:color w:val="111827"/>
          <w:sz w:val="22"/>
        </w:rPr>
        <w:t>Raw observations are immutable; corrections are new versioned records.</w:t>
      </w:r>
    </w:p>
    <w:p>
      <w:pPr>
        <w:numPr>
          <w:ilvl w:val="0"/>
          <w:numId w:val="10"/>
        </w:numPr>
        <w:spacing w:after="80" w:line="300" w:lineRule="auto"/>
      </w:pPr>
      <w:r>
        <w:rPr>
          <w:rFonts w:ascii="Calibri" w:hAnsi="Calibri" w:eastAsia="Calibri"/>
          <w:color w:val="111827"/>
          <w:sz w:val="22"/>
        </w:rPr>
        <w:t>Predictions expire and never overwrite measured outcomes.</w:t>
      </w:r>
    </w:p>
    <w:p>
      <w:pPr>
        <w:numPr>
          <w:ilvl w:val="0"/>
          <w:numId w:val="10"/>
        </w:numPr>
        <w:spacing w:after="80" w:line="300" w:lineRule="auto"/>
      </w:pPr>
      <w:r>
        <w:rPr>
          <w:rFonts w:ascii="Calibri" w:hAnsi="Calibri" w:eastAsia="Calibri"/>
          <w:color w:val="111827"/>
          <w:sz w:val="22"/>
        </w:rPr>
        <w:t>A recommendation is not an executed operation.</w:t>
      </w:r>
    </w:p>
    <w:p>
      <w:pPr>
        <w:numPr>
          <w:ilvl w:val="0"/>
          <w:numId w:val="10"/>
        </w:numPr>
        <w:spacing w:after="80" w:line="300" w:lineRule="auto"/>
      </w:pPr>
      <w:r>
        <w:rPr>
          <w:rFonts w:ascii="Calibri" w:hAnsi="Calibri" w:eastAsia="Calibri"/>
          <w:color w:val="111827"/>
          <w:sz w:val="22"/>
        </w:rPr>
        <w:t>Every automated state transition is replayable from stored events.</w:t>
      </w:r>
    </w:p>
    <w:p>
      <w:pPr>
        <w:numPr>
          <w:ilvl w:val="0"/>
          <w:numId w:val="10"/>
        </w:numPr>
        <w:spacing w:after="80" w:line="300" w:lineRule="auto"/>
      </w:pPr>
      <w:r>
        <w:rPr>
          <w:rFonts w:ascii="Calibri" w:hAnsi="Calibri" w:eastAsia="Calibri"/>
          <w:color w:val="111827"/>
          <w:sz w:val="22"/>
        </w:rPr>
        <w:t>Private module databases are not read directly by other Apollo modules.</w:t>
      </w:r>
    </w:p>
    <w:p>
      <w:pPr>
        <w:pStyle w:val="Heading1"/>
      </w:pPr>
      <w:r>
        <w:t>8. AI/ML model work packages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E8EEF5"/>
            <w:tcBorders>
              <w:top w:val="nil"/>
              <w:left w:val="single" w:sz="12" w:space="0" w:color="2E74B5"/>
              <w:bottom w:val="nil"/>
              <w:right w:val="nil"/>
            </w:tcBorders>
          </w:tcPr>
          <w:p>
            <w:pPr>
              <w:spacing w:after="40" w:line="288" w:lineRule="auto"/>
            </w:pPr>
            <w:r>
              <w:rPr>
                <w:rFonts w:ascii="Calibri" w:hAnsi="Calibri" w:eastAsia="Calibri"/>
                <w:b/>
                <w:color w:val="2E74B5"/>
                <w:sz w:val="21"/>
              </w:rPr>
              <w:t xml:space="preserve">Model doctrine. </w:t>
            </w:r>
            <w:r>
              <w:rPr>
                <w:rFonts w:ascii="Calibri" w:hAnsi="Calibri" w:eastAsia="Calibri"/>
                <w:color w:val="111827"/>
                <w:sz w:val="21"/>
              </w:rPr>
              <w:t>Use the simplest defensible baseline first, then add spatial, temporal or deep models only when they improve a pre-declared metric on farm/season-separated data. Physics and agronomic rules constrain the models; ML estimates residual behaviour and uncertainty.</w:t>
            </w:r>
          </w:p>
        </w:tc>
      </w:tr>
    </w:tbl>
    <w:p>
      <w:pPr>
        <w:keepNext w:val="0"/>
        <w:spacing w:before="0" w:after="40" w:line="300" w:lineRule="auto"/>
        <w:jc w:val="left"/>
      </w:pPr>
      <w:r>
        <w:rPr>
          <w:rFonts w:ascii="Calibri" w:hAnsi="Calibri" w:eastAsia="Calibri"/>
          <w:b w:val="0"/>
          <w:i w:val="0"/>
          <w:color w:val="111827"/>
          <w:sz w:val="22"/>
        </w:rPr>
      </w:r>
    </w:p>
    <w:p>
      <w:pPr>
        <w:pStyle w:val="Heading2"/>
      </w:pPr>
      <w:r>
        <w:t>8.1 Model registry</w:t>
      </w:r>
    </w:p>
    <w:tbl>
      <w:tblPr>
        <w:tblStyle w:val="TableGrid"/>
        <w:tblW w:type="dxa" w:w="9360"/>
        <w:jc w:val="left"/>
        <w:tblLayout w:type="fixed"/>
        <w:tblLook w:firstColumn="1" w:firstRow="1" w:lastColumn="0" w:lastRow="0" w:noHBand="0" w:noVBand="1" w:val="04A0"/>
        <w:tblInd w:w="120" w:type="dxa"/>
      </w:tblPr>
      <w:tblGrid>
        <w:gridCol w:w="1100"/>
        <w:gridCol w:w="2200"/>
        <w:gridCol w:w="2000"/>
        <w:gridCol w:w="2450"/>
        <w:gridCol w:w="1610"/>
      </w:tblGrid>
      <w:tr>
        <w:trPr>
          <w:tblHeader w:val="true"/>
          <w:cantSplit/>
        </w:trPr>
        <w:tc>
          <w:tcPr>
            <w:tcW w:type="dxa" w:w="1100"/>
            <w:shd w:fill="E8EEF5"/>
            <w:vAlign w:val="center"/>
            <w:tcMar>
              <w:top w:w="80" w:type="dxa"/>
              <w:start w:w="120" w:type="dxa"/>
              <w:bottom w:w="80" w:type="dxa"/>
              <w:end w:w="120" w:type="dxa"/>
            </w:tcMar>
          </w:tcPr>
          <w:p>
            <w:pPr>
              <w:spacing w:after="0" w:line="252" w:lineRule="auto"/>
              <w:jc w:val="center"/>
            </w:pPr>
            <w:r>
              <w:rPr>
                <w:rFonts w:ascii="Calibri" w:hAnsi="Calibri" w:eastAsia="Calibri"/>
                <w:b/>
                <w:color w:val="0B2545"/>
                <w:sz w:val="15"/>
              </w:rPr>
              <w:t>Package</w:t>
            </w:r>
          </w:p>
        </w:tc>
        <w:tc>
          <w:tcPr>
            <w:tcW w:type="dxa" w:w="2200"/>
            <w:shd w:fill="E8EEF5"/>
            <w:vAlign w:val="center"/>
            <w:tcMar>
              <w:top w:w="80" w:type="dxa"/>
              <w:start w:w="120" w:type="dxa"/>
              <w:bottom w:w="80" w:type="dxa"/>
              <w:end w:w="120" w:type="dxa"/>
            </w:tcMar>
          </w:tcPr>
          <w:p>
            <w:pPr>
              <w:spacing w:after="0" w:line="252" w:lineRule="auto"/>
              <w:jc w:val="center"/>
            </w:pPr>
            <w:r>
              <w:rPr>
                <w:rFonts w:ascii="Calibri" w:hAnsi="Calibri" w:eastAsia="Calibri"/>
                <w:b/>
                <w:color w:val="0B2545"/>
                <w:sz w:val="15"/>
              </w:rPr>
              <w:t>Problem</w:t>
            </w:r>
          </w:p>
        </w:tc>
        <w:tc>
          <w:tcPr>
            <w:tcW w:type="dxa" w:w="2000"/>
            <w:shd w:fill="E8EEF5"/>
            <w:vAlign w:val="center"/>
            <w:tcMar>
              <w:top w:w="80" w:type="dxa"/>
              <w:start w:w="120" w:type="dxa"/>
              <w:bottom w:w="80" w:type="dxa"/>
              <w:end w:w="120" w:type="dxa"/>
            </w:tcMar>
          </w:tcPr>
          <w:p>
            <w:pPr>
              <w:spacing w:after="0" w:line="252" w:lineRule="auto"/>
              <w:jc w:val="center"/>
            </w:pPr>
            <w:r>
              <w:rPr>
                <w:rFonts w:ascii="Calibri" w:hAnsi="Calibri" w:eastAsia="Calibri"/>
                <w:b/>
                <w:color w:val="0B2545"/>
                <w:sz w:val="15"/>
              </w:rPr>
              <w:t>Baseline</w:t>
            </w:r>
          </w:p>
        </w:tc>
        <w:tc>
          <w:tcPr>
            <w:tcW w:type="dxa" w:w="2450"/>
            <w:shd w:fill="E8EEF5"/>
            <w:vAlign w:val="center"/>
            <w:tcMar>
              <w:top w:w="80" w:type="dxa"/>
              <w:start w:w="120" w:type="dxa"/>
              <w:bottom w:w="80" w:type="dxa"/>
              <w:end w:w="120" w:type="dxa"/>
            </w:tcMar>
          </w:tcPr>
          <w:p>
            <w:pPr>
              <w:spacing w:after="0" w:line="252" w:lineRule="auto"/>
              <w:jc w:val="center"/>
            </w:pPr>
            <w:r>
              <w:rPr>
                <w:rFonts w:ascii="Calibri" w:hAnsi="Calibri" w:eastAsia="Calibri"/>
                <w:b/>
                <w:color w:val="0B2545"/>
                <w:sz w:val="15"/>
              </w:rPr>
              <w:t>Advanced path</w:t>
            </w:r>
          </w:p>
        </w:tc>
        <w:tc>
          <w:tcPr>
            <w:tcW w:type="dxa" w:w="1610"/>
            <w:shd w:fill="E8EEF5"/>
            <w:vAlign w:val="center"/>
            <w:tcMar>
              <w:top w:w="80" w:type="dxa"/>
              <w:start w:w="120" w:type="dxa"/>
              <w:bottom w:w="80" w:type="dxa"/>
              <w:end w:w="120" w:type="dxa"/>
            </w:tcMar>
          </w:tcPr>
          <w:p>
            <w:pPr>
              <w:spacing w:after="0" w:line="252" w:lineRule="auto"/>
              <w:jc w:val="center"/>
            </w:pPr>
            <w:r>
              <w:rPr>
                <w:rFonts w:ascii="Calibri" w:hAnsi="Calibri" w:eastAsia="Calibri"/>
                <w:b/>
                <w:color w:val="0B2545"/>
                <w:sz w:val="15"/>
              </w:rPr>
              <w:t>Output</w:t>
            </w:r>
          </w:p>
        </w:tc>
      </w:tr>
      <w:tr>
        <w:trPr>
          <w:cantSplit/>
        </w:trPr>
        <w:tc>
          <w:tcPr>
            <w:tcW w:type="dxa" w:w="11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5"/>
              </w:rPr>
              <w:t>AAG-M01 Terrain</w:t>
            </w:r>
          </w:p>
        </w:tc>
        <w:tc>
          <w:tcPr>
            <w:tcW w:type="dxa" w:w="22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5"/>
              </w:rPr>
              <w:t>Slope, drainage and zone delineation</w:t>
            </w:r>
          </w:p>
        </w:tc>
        <w:tc>
          <w:tcPr>
            <w:tcW w:type="dxa" w:w="20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5"/>
              </w:rPr>
              <w:t>DEM derivatives + rules + clustering</w:t>
            </w:r>
          </w:p>
        </w:tc>
        <w:tc>
          <w:tcPr>
            <w:tcW w:type="dxa" w:w="245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5"/>
              </w:rPr>
              <w:t>Learned risk zoning with field labels</w:t>
            </w:r>
          </w:p>
        </w:tc>
        <w:tc>
          <w:tcPr>
            <w:tcW w:type="dxa" w:w="161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5"/>
              </w:rPr>
              <w:t>Management zones and sampling plan</w:t>
            </w:r>
          </w:p>
        </w:tc>
      </w:tr>
      <w:tr>
        <w:trPr>
          <w:cantSplit/>
        </w:trPr>
        <w:tc>
          <w:tcPr>
            <w:tcW w:type="dxa" w:w="11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5"/>
              </w:rPr>
              <w:t>AAG-M02 Soil state</w:t>
            </w:r>
          </w:p>
        </w:tc>
        <w:tc>
          <w:tcPr>
            <w:tcW w:type="dxa" w:w="22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5"/>
              </w:rPr>
              <w:t>Spatial/temporal soil-water state</w:t>
            </w:r>
          </w:p>
        </w:tc>
        <w:tc>
          <w:tcPr>
            <w:tcW w:type="dxa" w:w="20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5"/>
              </w:rPr>
              <w:t>Interpolation + water balance</w:t>
            </w:r>
          </w:p>
        </w:tc>
        <w:tc>
          <w:tcPr>
            <w:tcW w:type="dxa" w:w="245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5"/>
              </w:rPr>
              <w:t>State-space, Gaussian process or graph model</w:t>
            </w:r>
          </w:p>
        </w:tc>
        <w:tc>
          <w:tcPr>
            <w:tcW w:type="dxa" w:w="161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5"/>
              </w:rPr>
              <w:t>Moisture/stress map with uncertainty</w:t>
            </w:r>
          </w:p>
        </w:tc>
      </w:tr>
      <w:tr>
        <w:trPr>
          <w:cantSplit/>
        </w:trPr>
        <w:tc>
          <w:tcPr>
            <w:tcW w:type="dxa" w:w="11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5"/>
              </w:rPr>
              <w:t>AAG-M03 Treatment</w:t>
            </w:r>
          </w:p>
        </w:tc>
        <w:tc>
          <w:tcPr>
            <w:tcW w:type="dxa" w:w="22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5"/>
              </w:rPr>
              <w:t>Mulch/hydrogel/amendment response</w:t>
            </w:r>
          </w:p>
        </w:tc>
        <w:tc>
          <w:tcPr>
            <w:tcW w:type="dxa" w:w="20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5"/>
              </w:rPr>
              <w:t>Mixed-effects regression</w:t>
            </w:r>
          </w:p>
        </w:tc>
        <w:tc>
          <w:tcPr>
            <w:tcW w:type="dxa" w:w="245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5"/>
              </w:rPr>
              <w:t>Bayesian/causal heterogeneity model</w:t>
            </w:r>
          </w:p>
        </w:tc>
        <w:tc>
          <w:tcPr>
            <w:tcW w:type="dxa" w:w="161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5"/>
              </w:rPr>
              <w:t>Expected benefit/risk by context</w:t>
            </w:r>
          </w:p>
        </w:tc>
      </w:tr>
      <w:tr>
        <w:trPr>
          <w:cantSplit/>
        </w:trPr>
        <w:tc>
          <w:tcPr>
            <w:tcW w:type="dxa" w:w="11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5"/>
              </w:rPr>
              <w:t>AAG-M04 Crop vision</w:t>
            </w:r>
          </w:p>
        </w:tc>
        <w:tc>
          <w:tcPr>
            <w:tcW w:type="dxa" w:w="22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5"/>
              </w:rPr>
              <w:t>Plant/stand count, gaps, canopy, weed/disease</w:t>
            </w:r>
          </w:p>
        </w:tc>
        <w:tc>
          <w:tcPr>
            <w:tcW w:type="dxa" w:w="20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5"/>
              </w:rPr>
              <w:t>Classical indices + detector/segmenter</w:t>
            </w:r>
          </w:p>
        </w:tc>
        <w:tc>
          <w:tcPr>
            <w:tcW w:type="dxa" w:w="245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5"/>
              </w:rPr>
              <w:t>Multimodal temporal vision</w:t>
            </w:r>
          </w:p>
        </w:tc>
        <w:tc>
          <w:tcPr>
            <w:tcW w:type="dxa" w:w="161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5"/>
              </w:rPr>
              <w:t>Geo-referenced observation and severity</w:t>
            </w:r>
          </w:p>
        </w:tc>
      </w:tr>
      <w:tr>
        <w:trPr>
          <w:cantSplit/>
        </w:trPr>
        <w:tc>
          <w:tcPr>
            <w:tcW w:type="dxa" w:w="11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5"/>
              </w:rPr>
              <w:t>AAG-M05 Phenology</w:t>
            </w:r>
          </w:p>
        </w:tc>
        <w:tc>
          <w:tcPr>
            <w:tcW w:type="dxa" w:w="22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5"/>
              </w:rPr>
              <w:t>Growth stage and development rate</w:t>
            </w:r>
          </w:p>
        </w:tc>
        <w:tc>
          <w:tcPr>
            <w:tcW w:type="dxa" w:w="20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5"/>
              </w:rPr>
              <w:t>Thermal-time/rule model</w:t>
            </w:r>
          </w:p>
        </w:tc>
        <w:tc>
          <w:tcPr>
            <w:tcW w:type="dxa" w:w="245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5"/>
              </w:rPr>
              <w:t>Sequence model with imagery/weather</w:t>
            </w:r>
          </w:p>
        </w:tc>
        <w:tc>
          <w:tcPr>
            <w:tcW w:type="dxa" w:w="161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5"/>
              </w:rPr>
              <w:t>Stage probabilities and deviation</w:t>
            </w:r>
          </w:p>
        </w:tc>
      </w:tr>
      <w:tr>
        <w:trPr>
          <w:cantSplit/>
        </w:trPr>
        <w:tc>
          <w:tcPr>
            <w:tcW w:type="dxa" w:w="11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5"/>
              </w:rPr>
              <w:t>AAG-M06 Stress</w:t>
            </w:r>
          </w:p>
        </w:tc>
        <w:tc>
          <w:tcPr>
            <w:tcW w:type="dxa" w:w="22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5"/>
              </w:rPr>
              <w:t>Water, heat, nutrient or disease-risk anomaly</w:t>
            </w:r>
          </w:p>
        </w:tc>
        <w:tc>
          <w:tcPr>
            <w:tcW w:type="dxa" w:w="20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5"/>
              </w:rPr>
              <w:t>Threshold/rule + isolation model</w:t>
            </w:r>
          </w:p>
        </w:tc>
        <w:tc>
          <w:tcPr>
            <w:tcW w:type="dxa" w:w="245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5"/>
              </w:rPr>
              <w:t>Multimodal anomaly/forecast model</w:t>
            </w:r>
          </w:p>
        </w:tc>
        <w:tc>
          <w:tcPr>
            <w:tcW w:type="dxa" w:w="161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5"/>
              </w:rPr>
              <w:t>Risk, cause candidates and lead time</w:t>
            </w:r>
          </w:p>
        </w:tc>
      </w:tr>
      <w:tr>
        <w:trPr>
          <w:cantSplit/>
        </w:trPr>
        <w:tc>
          <w:tcPr>
            <w:tcW w:type="dxa" w:w="11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5"/>
              </w:rPr>
              <w:t>AAG-M07 Yield</w:t>
            </w:r>
          </w:p>
        </w:tc>
        <w:tc>
          <w:tcPr>
            <w:tcW w:type="dxa" w:w="22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5"/>
              </w:rPr>
              <w:t>Plant/plot/field harvest quantity/quality</w:t>
            </w:r>
          </w:p>
        </w:tc>
        <w:tc>
          <w:tcPr>
            <w:tcW w:type="dxa" w:w="20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5"/>
              </w:rPr>
              <w:t>Historical mean + linear/tree model</w:t>
            </w:r>
          </w:p>
        </w:tc>
        <w:tc>
          <w:tcPr>
            <w:tcW w:type="dxa" w:w="245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5"/>
              </w:rPr>
              <w:t>Temporal fusion / hybrid crop model</w:t>
            </w:r>
          </w:p>
        </w:tc>
        <w:tc>
          <w:tcPr>
            <w:tcW w:type="dxa" w:w="161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5"/>
              </w:rPr>
              <w:t>Forecast distribution by horizon</w:t>
            </w:r>
          </w:p>
        </w:tc>
      </w:tr>
      <w:tr>
        <w:trPr>
          <w:cantSplit/>
        </w:trPr>
        <w:tc>
          <w:tcPr>
            <w:tcW w:type="dxa" w:w="11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5"/>
              </w:rPr>
              <w:t>AAG-M08 Decision</w:t>
            </w:r>
          </w:p>
        </w:tc>
        <w:tc>
          <w:tcPr>
            <w:tcW w:type="dxa" w:w="22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5"/>
              </w:rPr>
              <w:t>Action ranking under constraints</w:t>
            </w:r>
          </w:p>
        </w:tc>
        <w:tc>
          <w:tcPr>
            <w:tcW w:type="dxa" w:w="20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5"/>
              </w:rPr>
              <w:t>Expert rules + scorecard</w:t>
            </w:r>
          </w:p>
        </w:tc>
        <w:tc>
          <w:tcPr>
            <w:tcW w:type="dxa" w:w="245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5"/>
              </w:rPr>
              <w:t>Constrained optimisation / contextual policy</w:t>
            </w:r>
          </w:p>
        </w:tc>
        <w:tc>
          <w:tcPr>
            <w:tcW w:type="dxa" w:w="161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5"/>
              </w:rPr>
              <w:t>Recommendation, priority and approval</w:t>
            </w:r>
          </w:p>
        </w:tc>
      </w:tr>
    </w:tbl>
    <w:p>
      <w:pPr>
        <w:keepNext w:val="0"/>
        <w:spacing w:before="0" w:after="40" w:line="300" w:lineRule="auto"/>
        <w:jc w:val="left"/>
      </w:pPr>
      <w:r>
        <w:rPr>
          <w:rFonts w:ascii="Calibri" w:hAnsi="Calibri" w:eastAsia="Calibri"/>
          <w:b w:val="0"/>
          <w:i w:val="0"/>
          <w:color w:val="111827"/>
          <w:sz w:val="22"/>
        </w:rPr>
      </w:r>
    </w:p>
    <w:p>
      <w:pPr>
        <w:pStyle w:val="Heading2"/>
      </w:pPr>
      <w:r>
        <w:t>8.2 Physics-informed hybrid models</w:t>
      </w:r>
    </w:p>
    <w:p>
      <w:pPr>
        <w:numPr>
          <w:ilvl w:val="0"/>
          <w:numId w:val="10"/>
        </w:numPr>
        <w:spacing w:after="80" w:line="300" w:lineRule="auto"/>
      </w:pPr>
      <w:r>
        <w:rPr>
          <w:rFonts w:ascii="Calibri" w:hAnsi="Calibri" w:eastAsia="Calibri"/>
          <w:color w:val="111827"/>
          <w:sz w:val="22"/>
        </w:rPr>
        <w:t>Water: maintain a root-zone water balance using rainfall, irrigation, runoff, drainage and crop evapotranspiration; train ML on residual error.</w:t>
      </w:r>
    </w:p>
    <w:p>
      <w:pPr>
        <w:numPr>
          <w:ilvl w:val="0"/>
          <w:numId w:val="10"/>
        </w:numPr>
        <w:spacing w:after="80" w:line="300" w:lineRule="auto"/>
      </w:pPr>
      <w:r>
        <w:rPr>
          <w:rFonts w:ascii="Calibri" w:hAnsi="Calibri" w:eastAsia="Calibri"/>
          <w:color w:val="111827"/>
          <w:sz w:val="22"/>
        </w:rPr>
        <w:t>Growth: use crop calendar, thermal time and water stress as structured features; avoid black-box forecasts that ignore crop stage.</w:t>
      </w:r>
    </w:p>
    <w:p>
      <w:pPr>
        <w:numPr>
          <w:ilvl w:val="0"/>
          <w:numId w:val="10"/>
        </w:numPr>
        <w:spacing w:after="80" w:line="300" w:lineRule="auto"/>
      </w:pPr>
      <w:r>
        <w:rPr>
          <w:rFonts w:ascii="Calibri" w:hAnsi="Calibri" w:eastAsia="Calibri"/>
          <w:color w:val="111827"/>
          <w:sz w:val="22"/>
        </w:rPr>
        <w:t>Yield: constrain predictions to non-negative plausible ranges and aggregate plant/plot forecasts consistently to field totals.</w:t>
      </w:r>
    </w:p>
    <w:p>
      <w:pPr>
        <w:numPr>
          <w:ilvl w:val="0"/>
          <w:numId w:val="10"/>
        </w:numPr>
        <w:spacing w:after="80" w:line="300" w:lineRule="auto"/>
      </w:pPr>
      <w:r>
        <w:rPr>
          <w:rFonts w:ascii="Calibri" w:hAnsi="Calibri" w:eastAsia="Calibri"/>
          <w:color w:val="111827"/>
          <w:sz w:val="22"/>
        </w:rPr>
        <w:t>Treatment: separate weather, irrigation, block and soil effects from treatment response using controlled-design metadata.</w:t>
      </w:r>
    </w:p>
    <w:p>
      <w:pPr>
        <w:numPr>
          <w:ilvl w:val="0"/>
          <w:numId w:val="10"/>
        </w:numPr>
        <w:spacing w:after="80" w:line="300" w:lineRule="auto"/>
      </w:pPr>
      <w:r>
        <w:rPr>
          <w:rFonts w:ascii="Calibri" w:hAnsi="Calibri" w:eastAsia="Calibri"/>
          <w:color w:val="111827"/>
          <w:sz w:val="22"/>
        </w:rPr>
        <w:t>Forecasting: calibrate probability and prediction intervals at each horizon; do not report only point estimates.</w:t>
      </w:r>
    </w:p>
    <w:p>
      <w:pPr>
        <w:pStyle w:val="Heading2"/>
      </w:pPr>
      <w:r>
        <w:t>8.3 Crop packs</w:t>
      </w:r>
    </w:p>
    <w:p>
      <w:pPr>
        <w:keepNext w:val="0"/>
        <w:spacing w:before="0" w:after="120" w:line="300" w:lineRule="auto"/>
        <w:jc w:val="left"/>
      </w:pPr>
      <w:r>
        <w:rPr>
          <w:rFonts w:ascii="Calibri" w:hAnsi="Calibri" w:eastAsia="Calibri"/>
          <w:b w:val="0"/>
          <w:i w:val="0"/>
          <w:color w:val="111827"/>
          <w:sz w:val="22"/>
        </w:rPr>
        <w:t>The platform is shared, but each crop pack owns crop-specific phenology, thresholds, disease classes, canopy interpretation, rooting depth, harvest unit and validation data. The first team release should select one flagship crop and one secondary crop; additional crops are adapters, not a single universal model.</w:t>
      </w:r>
    </w:p>
    <w:tbl>
      <w:tblPr>
        <w:tblStyle w:val="TableGrid"/>
        <w:tblW w:type="dxa" w:w="9360"/>
        <w:jc w:val="left"/>
        <w:tblLayout w:type="fixed"/>
        <w:tblLook w:firstColumn="1" w:firstRow="1" w:lastColumn="0" w:lastRow="0" w:noHBand="0" w:noVBand="1" w:val="04A0"/>
        <w:tblInd w:w="120" w:type="dxa"/>
      </w:tblPr>
      <w:tblGrid>
        <w:gridCol w:w="4600"/>
        <w:gridCol w:w="4760"/>
      </w:tblGrid>
      <w:tr>
        <w:trPr>
          <w:tblHeader w:val="true"/>
          <w:cantSplit/>
        </w:trPr>
        <w:tc>
          <w:tcPr>
            <w:tcW w:type="dxa" w:w="4600"/>
            <w:shd w:fill="E8EEF5"/>
            <w:vAlign w:val="center"/>
            <w:tcMar>
              <w:top w:w="80" w:type="dxa"/>
              <w:start w:w="120" w:type="dxa"/>
              <w:bottom w:w="80" w:type="dxa"/>
              <w:end w:w="120" w:type="dxa"/>
            </w:tcMar>
          </w:tcPr>
          <w:p>
            <w:pPr>
              <w:spacing w:after="0" w:line="252" w:lineRule="auto"/>
              <w:jc w:val="center"/>
            </w:pPr>
            <w:r>
              <w:rPr>
                <w:rFonts w:ascii="Calibri" w:hAnsi="Calibri" w:eastAsia="Calibri"/>
                <w:b/>
                <w:color w:val="0B2545"/>
                <w:sz w:val="17"/>
              </w:rPr>
              <w:t>Shared platform</w:t>
            </w:r>
          </w:p>
        </w:tc>
        <w:tc>
          <w:tcPr>
            <w:tcW w:type="dxa" w:w="4760"/>
            <w:shd w:fill="E8EEF5"/>
            <w:vAlign w:val="center"/>
            <w:tcMar>
              <w:top w:w="80" w:type="dxa"/>
              <w:start w:w="120" w:type="dxa"/>
              <w:bottom w:w="80" w:type="dxa"/>
              <w:end w:w="120" w:type="dxa"/>
            </w:tcMar>
          </w:tcPr>
          <w:p>
            <w:pPr>
              <w:spacing w:after="0" w:line="252" w:lineRule="auto"/>
              <w:jc w:val="left"/>
            </w:pPr>
            <w:r>
              <w:rPr>
                <w:rFonts w:ascii="Calibri" w:hAnsi="Calibri" w:eastAsia="Calibri"/>
                <w:b/>
                <w:color w:val="0B2545"/>
                <w:sz w:val="17"/>
              </w:rPr>
              <w:t>Crop-pack configuration</w:t>
            </w:r>
          </w:p>
        </w:tc>
      </w:tr>
      <w:tr>
        <w:trPr>
          <w:cantSplit/>
        </w:trPr>
        <w:tc>
          <w:tcPr>
            <w:tcW w:type="dxa" w:w="46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IDs, geometry, observations, events, alerts, tasks, APIs and dashboard</w:t>
            </w:r>
          </w:p>
        </w:tc>
        <w:tc>
          <w:tcPr>
            <w:tcW w:type="dxa" w:w="47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Crop/variety, phenology scale, root depth, water parameters and planting geometry</w:t>
            </w:r>
          </w:p>
        </w:tc>
      </w:tr>
      <w:tr>
        <w:trPr>
          <w:cantSplit/>
        </w:trPr>
        <w:tc>
          <w:tcPr>
            <w:tcW w:type="dxa" w:w="46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Training/evaluation framework, MLOps and digital-twin engine</w:t>
            </w:r>
          </w:p>
        </w:tc>
        <w:tc>
          <w:tcPr>
            <w:tcW w:type="dxa" w:w="47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Vision classes, stress thresholds, disease ontology and yield unit</w:t>
            </w:r>
          </w:p>
        </w:tc>
      </w:tr>
      <w:tr>
        <w:trPr>
          <w:cantSplit/>
        </w:trPr>
        <w:tc>
          <w:tcPr>
            <w:tcW w:type="dxa" w:w="46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Weather/soil ingestion and 100-hour orchestration</w:t>
            </w:r>
          </w:p>
        </w:tc>
        <w:tc>
          <w:tcPr>
            <w:tcW w:type="dxa" w:w="47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Sensitive stages, action rules, harvest criteria and local agronomic constraints</w:t>
            </w:r>
          </w:p>
        </w:tc>
      </w:tr>
    </w:tbl>
    <w:p>
      <w:pPr>
        <w:keepNext w:val="0"/>
        <w:spacing w:before="0" w:after="40" w:line="300" w:lineRule="auto"/>
        <w:jc w:val="left"/>
      </w:pPr>
      <w:r>
        <w:rPr>
          <w:rFonts w:ascii="Calibri" w:hAnsi="Calibri" w:eastAsia="Calibri"/>
          <w:b w:val="0"/>
          <w:i w:val="0"/>
          <w:color w:val="111827"/>
          <w:sz w:val="22"/>
        </w:rPr>
      </w:r>
    </w:p>
    <w:p>
      <w:pPr>
        <w:pStyle w:val="Heading1"/>
      </w:pPr>
      <w:r>
        <w:t>9. Weather, yield forecasting and the rolling 100-hour command window</w:t>
      </w:r>
    </w:p>
    <w:p>
      <w:pPr>
        <w:spacing w:before="120" w:after="80"/>
        <w:jc w:val="center"/>
      </w:pPr>
      <w:r>
        <w:drawing>
          <wp:inline xmlns:a="http://schemas.openxmlformats.org/drawingml/2006/main" xmlns:pic="http://schemas.openxmlformats.org/drawingml/2006/picture">
            <wp:extent cx="5715000" cy="2711803"/>
            <wp:docPr id="5" name="Picture 5" descr="The horizon is segmented by actionability and recomputed whenever material evidence changes."/>
            <wp:cNvGraphicFramePr>
              <a:graphicFrameLocks noChangeAspect="1"/>
            </wp:cNvGraphicFramePr>
            <a:graphic>
              <a:graphicData uri="http://schemas.openxmlformats.org/drawingml/2006/picture">
                <pic:pic>
                  <pic:nvPicPr>
                    <pic:cNvPr id="0" name="agriguard_100_hour_window.png"/>
                    <pic:cNvPicPr/>
                  </pic:nvPicPr>
                  <pic:blipFill>
                    <a:blip r:embed="rId15"/>
                    <a:stretch>
                      <a:fillRect/>
                    </a:stretch>
                  </pic:blipFill>
                  <pic:spPr>
                    <a:xfrm>
                      <a:off x="0" y="0"/>
                      <a:ext cx="5715000" cy="2711803"/>
                    </a:xfrm>
                    <a:prstGeom prst="rect"/>
                  </pic:spPr>
                </pic:pic>
              </a:graphicData>
            </a:graphic>
          </wp:inline>
        </w:drawing>
      </w:r>
    </w:p>
    <w:p>
      <w:pPr>
        <w:keepNext w:val="0"/>
        <w:spacing w:before="0" w:after="160" w:line="300" w:lineRule="auto"/>
        <w:jc w:val="center"/>
      </w:pPr>
      <w:r>
        <w:rPr>
          <w:rFonts w:ascii="Calibri" w:hAnsi="Calibri" w:eastAsia="Calibri"/>
          <w:b w:val="0"/>
          <w:i/>
          <w:color w:val="667085"/>
          <w:sz w:val="18"/>
        </w:rPr>
        <w:t>Figure 5. Rolling 100-hour farm command window.</w:t>
      </w:r>
    </w:p>
    <w:p>
      <w:pPr>
        <w:pStyle w:val="Heading2"/>
      </w:pPr>
      <w:r>
        <w:t>9.1 The 100-hour design</w:t>
      </w:r>
    </w:p>
    <w:tbl>
      <w:tblPr>
        <w:tblStyle w:val="TableGrid"/>
        <w:tblW w:type="dxa" w:w="9360"/>
        <w:jc w:val="left"/>
        <w:tblLayout w:type="fixed"/>
        <w:tblLook w:firstColumn="1" w:firstRow="1" w:lastColumn="0" w:lastRow="0" w:noHBand="0" w:noVBand="1" w:val="04A0"/>
        <w:tblInd w:w="120" w:type="dxa"/>
      </w:tblPr>
      <w:tblGrid>
        <w:gridCol w:w="1250"/>
        <w:gridCol w:w="3000"/>
        <w:gridCol w:w="3300"/>
        <w:gridCol w:w="1810"/>
      </w:tblGrid>
      <w:tr>
        <w:trPr>
          <w:tblHeader w:val="true"/>
          <w:cantSplit/>
        </w:trPr>
        <w:tc>
          <w:tcPr>
            <w:tcW w:type="dxa" w:w="1250"/>
            <w:shd w:fill="E8EEF5"/>
            <w:vAlign w:val="center"/>
            <w:tcMar>
              <w:top w:w="80" w:type="dxa"/>
              <w:start w:w="120" w:type="dxa"/>
              <w:bottom w:w="80" w:type="dxa"/>
              <w:end w:w="120" w:type="dxa"/>
            </w:tcMar>
          </w:tcPr>
          <w:p>
            <w:pPr>
              <w:spacing w:after="0" w:line="252" w:lineRule="auto"/>
              <w:jc w:val="center"/>
            </w:pPr>
            <w:r>
              <w:rPr>
                <w:rFonts w:ascii="Calibri" w:hAnsi="Calibri" w:eastAsia="Calibri"/>
                <w:b/>
                <w:color w:val="0B2545"/>
                <w:sz w:val="16"/>
              </w:rPr>
              <w:t>Horizon</w:t>
            </w:r>
          </w:p>
        </w:tc>
        <w:tc>
          <w:tcPr>
            <w:tcW w:type="dxa" w:w="3000"/>
            <w:shd w:fill="E8EEF5"/>
            <w:vAlign w:val="center"/>
            <w:tcMar>
              <w:top w:w="80" w:type="dxa"/>
              <w:start w:w="120" w:type="dxa"/>
              <w:bottom w:w="80" w:type="dxa"/>
              <w:end w:w="120" w:type="dxa"/>
            </w:tcMar>
          </w:tcPr>
          <w:p>
            <w:pPr>
              <w:spacing w:after="0" w:line="252" w:lineRule="auto"/>
              <w:jc w:val="center"/>
            </w:pPr>
            <w:r>
              <w:rPr>
                <w:rFonts w:ascii="Calibri" w:hAnsi="Calibri" w:eastAsia="Calibri"/>
                <w:b/>
                <w:color w:val="0B2545"/>
                <w:sz w:val="16"/>
              </w:rPr>
              <w:t>Operational purpose</w:t>
            </w:r>
          </w:p>
        </w:tc>
        <w:tc>
          <w:tcPr>
            <w:tcW w:type="dxa" w:w="3300"/>
            <w:shd w:fill="E8EEF5"/>
            <w:vAlign w:val="center"/>
            <w:tcMar>
              <w:top w:w="80" w:type="dxa"/>
              <w:start w:w="120" w:type="dxa"/>
              <w:bottom w:w="80" w:type="dxa"/>
              <w:end w:w="120" w:type="dxa"/>
            </w:tcMar>
          </w:tcPr>
          <w:p>
            <w:pPr>
              <w:spacing w:after="0" w:line="252" w:lineRule="auto"/>
              <w:jc w:val="center"/>
            </w:pPr>
            <w:r>
              <w:rPr>
                <w:rFonts w:ascii="Calibri" w:hAnsi="Calibri" w:eastAsia="Calibri"/>
                <w:b/>
                <w:color w:val="0B2545"/>
                <w:sz w:val="16"/>
              </w:rPr>
              <w:t>Typical actions</w:t>
            </w:r>
          </w:p>
        </w:tc>
        <w:tc>
          <w:tcPr>
            <w:tcW w:type="dxa" w:w="1810"/>
            <w:shd w:fill="E8EEF5"/>
            <w:vAlign w:val="center"/>
            <w:tcMar>
              <w:top w:w="80" w:type="dxa"/>
              <w:start w:w="120" w:type="dxa"/>
              <w:bottom w:w="80" w:type="dxa"/>
              <w:end w:w="120" w:type="dxa"/>
            </w:tcMar>
          </w:tcPr>
          <w:p>
            <w:pPr>
              <w:spacing w:after="0" w:line="252" w:lineRule="auto"/>
              <w:jc w:val="center"/>
            </w:pPr>
            <w:r>
              <w:rPr>
                <w:rFonts w:ascii="Calibri" w:hAnsi="Calibri" w:eastAsia="Calibri"/>
                <w:b/>
                <w:color w:val="0B2545"/>
                <w:sz w:val="16"/>
              </w:rPr>
              <w:t>Forecast treatment</w:t>
            </w:r>
          </w:p>
        </w:tc>
      </w:tr>
      <w:tr>
        <w:trPr>
          <w:cantSplit/>
        </w:trPr>
        <w:tc>
          <w:tcPr>
            <w:tcW w:type="dxa" w:w="125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0-6 h</w:t>
            </w:r>
          </w:p>
        </w:tc>
        <w:tc>
          <w:tcPr>
            <w:tcW w:type="dxa" w:w="30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Detect and contain an active condition</w:t>
            </w:r>
          </w:p>
        </w:tc>
        <w:tc>
          <w:tcPr>
            <w:tcW w:type="dxa" w:w="33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Verify sensor/irrigation failure; inspect severe stress; secure equipment</w:t>
            </w:r>
          </w:p>
        </w:tc>
        <w:tc>
          <w:tcPr>
            <w:tcW w:type="dxa" w:w="181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Nowcast + live sensor evidence; highest urgency</w:t>
            </w:r>
          </w:p>
        </w:tc>
      </w:tr>
      <w:tr>
        <w:trPr>
          <w:cantSplit/>
        </w:trPr>
        <w:tc>
          <w:tcPr>
            <w:tcW w:type="dxa" w:w="125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6-24 h</w:t>
            </w:r>
          </w:p>
        </w:tc>
        <w:tc>
          <w:tcPr>
            <w:tcW w:type="dxa" w:w="30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Prevent avoidable next-day loss</w:t>
            </w:r>
          </w:p>
        </w:tc>
        <w:tc>
          <w:tcPr>
            <w:tcW w:type="dxa" w:w="33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Adjust permitted irrigation plan; scout; protect exposed materials</w:t>
            </w:r>
          </w:p>
        </w:tc>
        <w:tc>
          <w:tcPr>
            <w:tcW w:type="dxa" w:w="181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Short-range forecast with local bias correction</w:t>
            </w:r>
          </w:p>
        </w:tc>
      </w:tr>
      <w:tr>
        <w:trPr>
          <w:cantSplit/>
        </w:trPr>
        <w:tc>
          <w:tcPr>
            <w:tcW w:type="dxa" w:w="125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24-72 h</w:t>
            </w:r>
          </w:p>
        </w:tc>
        <w:tc>
          <w:tcPr>
            <w:tcW w:type="dxa" w:w="30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Schedule people, water and equipment</w:t>
            </w:r>
          </w:p>
        </w:tc>
        <w:tc>
          <w:tcPr>
            <w:tcW w:type="dxa" w:w="33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Prepare drainage, scouting, treatment or harvest resources</w:t>
            </w:r>
          </w:p>
        </w:tc>
        <w:tc>
          <w:tcPr>
            <w:tcW w:type="dxa" w:w="181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Ensemble/probability and scenario comparison</w:t>
            </w:r>
          </w:p>
        </w:tc>
      </w:tr>
      <w:tr>
        <w:trPr>
          <w:cantSplit/>
        </w:trPr>
        <w:tc>
          <w:tcPr>
            <w:tcW w:type="dxa" w:w="125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72-100 h</w:t>
            </w:r>
          </w:p>
        </w:tc>
        <w:tc>
          <w:tcPr>
            <w:tcW w:type="dxa" w:w="30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Prepare contingency</w:t>
            </w:r>
          </w:p>
        </w:tc>
        <w:tc>
          <w:tcPr>
            <w:tcW w:type="dxa" w:w="33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Reserve labour/robot window; stage inputs; review harvest/weather risk</w:t>
            </w:r>
          </w:p>
        </w:tc>
        <w:tc>
          <w:tcPr>
            <w:tcW w:type="dxa" w:w="181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Lower confidence; communicate uncertainty clearly</w:t>
            </w:r>
          </w:p>
        </w:tc>
      </w:tr>
    </w:tbl>
    <w:p>
      <w:pPr>
        <w:keepNext w:val="0"/>
        <w:spacing w:before="0" w:after="40" w:line="300" w:lineRule="auto"/>
        <w:jc w:val="left"/>
      </w:pPr>
      <w:r>
        <w:rPr>
          <w:rFonts w:ascii="Calibri" w:hAnsi="Calibri" w:eastAsia="Calibri"/>
          <w:b w:val="0"/>
          <w:i w:val="0"/>
          <w:color w:val="111827"/>
          <w:sz w:val="22"/>
        </w:rPr>
      </w:r>
    </w:p>
    <w:p>
      <w:pPr>
        <w:pStyle w:val="Heading2"/>
      </w:pPr>
      <w:r>
        <w:t>9.2 Alert classes</w:t>
      </w:r>
    </w:p>
    <w:tbl>
      <w:tblPr>
        <w:tblStyle w:val="TableGrid"/>
        <w:tblW w:type="dxa" w:w="9360"/>
        <w:jc w:val="left"/>
        <w:tblLayout w:type="fixed"/>
        <w:tblLook w:firstColumn="1" w:firstRow="1" w:lastColumn="0" w:lastRow="0" w:noHBand="0" w:noVBand="1" w:val="04A0"/>
        <w:tblInd w:w="120" w:type="dxa"/>
      </w:tblPr>
      <w:tblGrid>
        <w:gridCol w:w="1800"/>
        <w:gridCol w:w="3650"/>
        <w:gridCol w:w="3910"/>
      </w:tblGrid>
      <w:tr>
        <w:trPr>
          <w:tblHeader w:val="true"/>
          <w:cantSplit/>
        </w:trPr>
        <w:tc>
          <w:tcPr>
            <w:tcW w:type="dxa" w:w="1800"/>
            <w:shd w:fill="E8EEF5"/>
            <w:vAlign w:val="center"/>
            <w:tcMar>
              <w:top w:w="80" w:type="dxa"/>
              <w:start w:w="120" w:type="dxa"/>
              <w:bottom w:w="80" w:type="dxa"/>
              <w:end w:w="120" w:type="dxa"/>
            </w:tcMar>
          </w:tcPr>
          <w:p>
            <w:pPr>
              <w:spacing w:after="0" w:line="252" w:lineRule="auto"/>
              <w:jc w:val="center"/>
            </w:pPr>
            <w:r>
              <w:rPr>
                <w:rFonts w:ascii="Calibri" w:hAnsi="Calibri" w:eastAsia="Calibri"/>
                <w:b/>
                <w:color w:val="0B2545"/>
                <w:sz w:val="16"/>
              </w:rPr>
              <w:t>Alert class</w:t>
            </w:r>
          </w:p>
        </w:tc>
        <w:tc>
          <w:tcPr>
            <w:tcW w:type="dxa" w:w="3650"/>
            <w:shd w:fill="E8EEF5"/>
            <w:vAlign w:val="center"/>
            <w:tcMar>
              <w:top w:w="80" w:type="dxa"/>
              <w:start w:w="120" w:type="dxa"/>
              <w:bottom w:w="80" w:type="dxa"/>
              <w:end w:w="120" w:type="dxa"/>
            </w:tcMar>
          </w:tcPr>
          <w:p>
            <w:pPr>
              <w:spacing w:after="0" w:line="252" w:lineRule="auto"/>
              <w:jc w:val="center"/>
            </w:pPr>
            <w:r>
              <w:rPr>
                <w:rFonts w:ascii="Calibri" w:hAnsi="Calibri" w:eastAsia="Calibri"/>
                <w:b/>
                <w:color w:val="0B2545"/>
                <w:sz w:val="16"/>
              </w:rPr>
              <w:t>Evidence combination</w:t>
            </w:r>
          </w:p>
        </w:tc>
        <w:tc>
          <w:tcPr>
            <w:tcW w:type="dxa" w:w="3910"/>
            <w:shd w:fill="E8EEF5"/>
            <w:vAlign w:val="center"/>
            <w:tcMar>
              <w:top w:w="80" w:type="dxa"/>
              <w:start w:w="120" w:type="dxa"/>
              <w:bottom w:w="80" w:type="dxa"/>
              <w:end w:w="120" w:type="dxa"/>
            </w:tcMar>
          </w:tcPr>
          <w:p>
            <w:pPr>
              <w:spacing w:after="0" w:line="252" w:lineRule="auto"/>
              <w:jc w:val="center"/>
            </w:pPr>
            <w:r>
              <w:rPr>
                <w:rFonts w:ascii="Calibri" w:hAnsi="Calibri" w:eastAsia="Calibri"/>
                <w:b/>
                <w:color w:val="0B2545"/>
                <w:sz w:val="16"/>
              </w:rPr>
              <w:t>Recommended response</w:t>
            </w:r>
          </w:p>
        </w:tc>
      </w:tr>
      <w:tr>
        <w:trPr>
          <w:cantSplit/>
        </w:trPr>
        <w:tc>
          <w:tcPr>
            <w:tcW w:type="dxa" w:w="18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Soil-water deficit</w:t>
            </w:r>
          </w:p>
        </w:tc>
        <w:tc>
          <w:tcPr>
            <w:tcW w:type="dxa" w:w="365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Root-zone estimate + forecast ET/rain + crop stage</w:t>
            </w:r>
          </w:p>
        </w:tc>
        <w:tc>
          <w:tcPr>
            <w:tcW w:type="dxa" w:w="391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Inspect/irrigate according to approved water constraints</w:t>
            </w:r>
          </w:p>
        </w:tc>
      </w:tr>
      <w:tr>
        <w:trPr>
          <w:cantSplit/>
        </w:trPr>
        <w:tc>
          <w:tcPr>
            <w:tcW w:type="dxa" w:w="18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Waterlogging / heavy rain</w:t>
            </w:r>
          </w:p>
        </w:tc>
        <w:tc>
          <w:tcPr>
            <w:tcW w:type="dxa" w:w="365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Terrain/drainage + soil saturation + rain probability</w:t>
            </w:r>
          </w:p>
        </w:tc>
        <w:tc>
          <w:tcPr>
            <w:tcW w:type="dxa" w:w="391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Inspect drainage, protect inputs and defer unsafe operations</w:t>
            </w:r>
          </w:p>
        </w:tc>
      </w:tr>
      <w:tr>
        <w:trPr>
          <w:cantSplit/>
        </w:trPr>
        <w:tc>
          <w:tcPr>
            <w:tcW w:type="dxa" w:w="18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Heat/cold stress</w:t>
            </w:r>
          </w:p>
        </w:tc>
        <w:tc>
          <w:tcPr>
            <w:tcW w:type="dxa" w:w="365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Forecast + canopy/air temperature + sensitive stage</w:t>
            </w:r>
          </w:p>
        </w:tc>
        <w:tc>
          <w:tcPr>
            <w:tcW w:type="dxa" w:w="391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Protect/irrigate only within agronomic plan; schedule inspection</w:t>
            </w:r>
          </w:p>
        </w:tc>
      </w:tr>
      <w:tr>
        <w:trPr>
          <w:cantSplit/>
        </w:trPr>
        <w:tc>
          <w:tcPr>
            <w:tcW w:type="dxa" w:w="18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Disease/pest window</w:t>
            </w:r>
          </w:p>
        </w:tc>
        <w:tc>
          <w:tcPr>
            <w:tcW w:type="dxa" w:w="365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Weather suitability + imagery/scouting + crop stage</w:t>
            </w:r>
          </w:p>
        </w:tc>
        <w:tc>
          <w:tcPr>
            <w:tcW w:type="dxa" w:w="391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Targeted scouting; agronomist-approved protection decision</w:t>
            </w:r>
          </w:p>
        </w:tc>
      </w:tr>
      <w:tr>
        <w:trPr>
          <w:cantSplit/>
        </w:trPr>
        <w:tc>
          <w:tcPr>
            <w:tcW w:type="dxa" w:w="18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Irrigation-system failure</w:t>
            </w:r>
          </w:p>
        </w:tc>
        <w:tc>
          <w:tcPr>
            <w:tcW w:type="dxa" w:w="365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Expected flow/state vs measured flow/pressure/moisture</w:t>
            </w:r>
          </w:p>
        </w:tc>
        <w:tc>
          <w:tcPr>
            <w:tcW w:type="dxa" w:w="391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Check pump, line, valve or blockage; avoid duplicate watering</w:t>
            </w:r>
          </w:p>
        </w:tc>
      </w:tr>
      <w:tr>
        <w:trPr>
          <w:cantSplit/>
        </w:trPr>
        <w:tc>
          <w:tcPr>
            <w:tcW w:type="dxa" w:w="18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Harvest weather/readiness</w:t>
            </w:r>
          </w:p>
        </w:tc>
        <w:tc>
          <w:tcPr>
            <w:tcW w:type="dxa" w:w="365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Maturity/yield/quality estimate + rain/wind/heat window</w:t>
            </w:r>
          </w:p>
        </w:tc>
        <w:tc>
          <w:tcPr>
            <w:tcW w:type="dxa" w:w="391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Plan harvest order and resources; human supervisor approves</w:t>
            </w:r>
          </w:p>
        </w:tc>
      </w:tr>
      <w:tr>
        <w:trPr>
          <w:cantSplit/>
        </w:trPr>
        <w:tc>
          <w:tcPr>
            <w:tcW w:type="dxa" w:w="18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Sensor/data failure</w:t>
            </w:r>
          </w:p>
        </w:tc>
        <w:tc>
          <w:tcPr>
            <w:tcW w:type="dxa" w:w="365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Stale, drifting or inconsistent device evidence</w:t>
            </w:r>
          </w:p>
        </w:tc>
        <w:tc>
          <w:tcPr>
            <w:tcW w:type="dxa" w:w="391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Repair/calibrate; suppress unsafe downstream automation</w:t>
            </w:r>
          </w:p>
        </w:tc>
      </w:tr>
    </w:tbl>
    <w:p>
      <w:pPr>
        <w:keepNext w:val="0"/>
        <w:spacing w:before="0" w:after="40" w:line="300" w:lineRule="auto"/>
        <w:jc w:val="left"/>
      </w:pPr>
      <w:r>
        <w:rPr>
          <w:rFonts w:ascii="Calibri" w:hAnsi="Calibri" w:eastAsia="Calibri"/>
          <w:b w:val="0"/>
          <w:i w:val="0"/>
          <w:color w:val="111827"/>
          <w:sz w:val="22"/>
        </w:rPr>
      </w:r>
    </w:p>
    <w:p>
      <w:pPr>
        <w:pStyle w:val="Heading2"/>
      </w:pPr>
      <w:r>
        <w:t>9.3 Alert score and payload</w:t>
      </w:r>
    </w:p>
    <w:p>
      <w:pPr>
        <w:keepNext w:val="0"/>
        <w:spacing w:before="0" w:after="120" w:line="300" w:lineRule="auto"/>
        <w:jc w:val="left"/>
      </w:pPr>
      <w:r>
        <w:rPr>
          <w:rFonts w:ascii="Calibri" w:hAnsi="Calibri" w:eastAsia="Calibri"/>
          <w:b w:val="0"/>
          <w:i w:val="0"/>
          <w:color w:val="111827"/>
          <w:sz w:val="22"/>
        </w:rPr>
        <w:t>Rank alerts using hazard probability, exposed area/value, crop-stage sensitivity, time-to-impact, confidence, actionability and cost of a false alarm. Each alert payload must contain: target entity, observed/forecast evidence, severity, probability or calibrated confidence, lead time, recommended action, alternatives, approval level, expiry, model/rule version and acknowledgement state.</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F2F4F7"/>
            <w:tcBorders>
              <w:top w:val="nil"/>
              <w:left w:val="single" w:sz="12" w:space="0" w:color="9B1C1C"/>
              <w:bottom w:val="nil"/>
              <w:right w:val="nil"/>
            </w:tcBorders>
          </w:tcPr>
          <w:p>
            <w:pPr>
              <w:spacing w:after="40" w:line="288" w:lineRule="auto"/>
            </w:pPr>
            <w:r>
              <w:rPr>
                <w:rFonts w:ascii="Calibri" w:hAnsi="Calibri" w:eastAsia="Calibri"/>
                <w:b/>
                <w:color w:val="9B1C1C"/>
                <w:sz w:val="21"/>
              </w:rPr>
              <w:t xml:space="preserve">No false certainty. </w:t>
            </w:r>
            <w:r>
              <w:rPr>
                <w:rFonts w:ascii="Calibri" w:hAnsi="Calibri" w:eastAsia="Calibri"/>
                <w:color w:val="111827"/>
                <w:sz w:val="21"/>
              </w:rPr>
              <w:t>A 100-hour window is a rolling decision horizon, not a promise of perfect 100-hour prediction. Accuracy and uncertainty must be reported separately for 0-24, 24-48, 48-72 and 72-100 hour bands.</w:t>
            </w:r>
          </w:p>
        </w:tc>
      </w:tr>
    </w:tbl>
    <w:p>
      <w:pPr>
        <w:keepNext w:val="0"/>
        <w:spacing w:before="0" w:after="40" w:line="300" w:lineRule="auto"/>
        <w:jc w:val="left"/>
      </w:pPr>
      <w:r>
        <w:rPr>
          <w:rFonts w:ascii="Calibri" w:hAnsi="Calibri" w:eastAsia="Calibri"/>
          <w:b w:val="0"/>
          <w:i w:val="0"/>
          <w:color w:val="111827"/>
          <w:sz w:val="22"/>
        </w:rPr>
      </w:r>
    </w:p>
    <w:p>
      <w:pPr>
        <w:pStyle w:val="Heading2"/>
      </w:pPr>
      <w:r>
        <w:t>9.4 Yield forecast ladder</w:t>
      </w:r>
    </w:p>
    <w:tbl>
      <w:tblPr>
        <w:tblStyle w:val="TableGrid"/>
        <w:tblW w:type="dxa" w:w="9360"/>
        <w:jc w:val="left"/>
        <w:tblLayout w:type="fixed"/>
        <w:tblLook w:firstColumn="1" w:firstRow="1" w:lastColumn="0" w:lastRow="0" w:noHBand="0" w:noVBand="1" w:val="04A0"/>
        <w:tblInd w:w="120" w:type="dxa"/>
      </w:tblPr>
      <w:tblGrid>
        <w:gridCol w:w="1650"/>
        <w:gridCol w:w="1500"/>
        <w:gridCol w:w="3750"/>
        <w:gridCol w:w="2460"/>
      </w:tblGrid>
      <w:tr>
        <w:trPr>
          <w:tblHeader w:val="true"/>
          <w:cantSplit/>
        </w:trPr>
        <w:tc>
          <w:tcPr>
            <w:tcW w:type="dxa" w:w="1650"/>
            <w:shd w:fill="E8EEF5"/>
            <w:vAlign w:val="center"/>
            <w:tcMar>
              <w:top w:w="80" w:type="dxa"/>
              <w:start w:w="120" w:type="dxa"/>
              <w:bottom w:w="80" w:type="dxa"/>
              <w:end w:w="120" w:type="dxa"/>
            </w:tcMar>
          </w:tcPr>
          <w:p>
            <w:pPr>
              <w:spacing w:after="0" w:line="252" w:lineRule="auto"/>
              <w:jc w:val="center"/>
            </w:pPr>
            <w:r>
              <w:rPr>
                <w:rFonts w:ascii="Calibri" w:hAnsi="Calibri" w:eastAsia="Calibri"/>
                <w:b/>
                <w:color w:val="0B2545"/>
                <w:sz w:val="16"/>
              </w:rPr>
              <w:t>Forecast</w:t>
            </w:r>
          </w:p>
        </w:tc>
        <w:tc>
          <w:tcPr>
            <w:tcW w:type="dxa" w:w="1500"/>
            <w:shd w:fill="E8EEF5"/>
            <w:vAlign w:val="center"/>
            <w:tcMar>
              <w:top w:w="80" w:type="dxa"/>
              <w:start w:w="120" w:type="dxa"/>
              <w:bottom w:w="80" w:type="dxa"/>
              <w:end w:w="120" w:type="dxa"/>
            </w:tcMar>
          </w:tcPr>
          <w:p>
            <w:pPr>
              <w:spacing w:after="0" w:line="252" w:lineRule="auto"/>
              <w:jc w:val="center"/>
            </w:pPr>
            <w:r>
              <w:rPr>
                <w:rFonts w:ascii="Calibri" w:hAnsi="Calibri" w:eastAsia="Calibri"/>
                <w:b/>
                <w:color w:val="0B2545"/>
                <w:sz w:val="16"/>
              </w:rPr>
              <w:t>When</w:t>
            </w:r>
          </w:p>
        </w:tc>
        <w:tc>
          <w:tcPr>
            <w:tcW w:type="dxa" w:w="3750"/>
            <w:shd w:fill="E8EEF5"/>
            <w:vAlign w:val="center"/>
            <w:tcMar>
              <w:top w:w="80" w:type="dxa"/>
              <w:start w:w="120" w:type="dxa"/>
              <w:bottom w:w="80" w:type="dxa"/>
              <w:end w:w="120" w:type="dxa"/>
            </w:tcMar>
          </w:tcPr>
          <w:p>
            <w:pPr>
              <w:spacing w:after="0" w:line="252" w:lineRule="auto"/>
              <w:jc w:val="center"/>
            </w:pPr>
            <w:r>
              <w:rPr>
                <w:rFonts w:ascii="Calibri" w:hAnsi="Calibri" w:eastAsia="Calibri"/>
                <w:b/>
                <w:color w:val="0B2545"/>
                <w:sz w:val="16"/>
              </w:rPr>
              <w:t>Primary inputs</w:t>
            </w:r>
          </w:p>
        </w:tc>
        <w:tc>
          <w:tcPr>
            <w:tcW w:type="dxa" w:w="2460"/>
            <w:shd w:fill="E8EEF5"/>
            <w:vAlign w:val="center"/>
            <w:tcMar>
              <w:top w:w="80" w:type="dxa"/>
              <w:start w:w="120" w:type="dxa"/>
              <w:bottom w:w="80" w:type="dxa"/>
              <w:end w:w="120" w:type="dxa"/>
            </w:tcMar>
          </w:tcPr>
          <w:p>
            <w:pPr>
              <w:spacing w:after="0" w:line="252" w:lineRule="auto"/>
              <w:jc w:val="center"/>
            </w:pPr>
            <w:r>
              <w:rPr>
                <w:rFonts w:ascii="Calibri" w:hAnsi="Calibri" w:eastAsia="Calibri"/>
                <w:b/>
                <w:color w:val="0B2545"/>
                <w:sz w:val="16"/>
              </w:rPr>
              <w:t>Use</w:t>
            </w:r>
          </w:p>
        </w:tc>
      </w:tr>
      <w:tr>
        <w:trPr>
          <w:cantSplit/>
        </w:trPr>
        <w:tc>
          <w:tcPr>
            <w:tcW w:type="dxa" w:w="165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Pre-season potential</w:t>
            </w:r>
          </w:p>
        </w:tc>
        <w:tc>
          <w:tcPr>
            <w:tcW w:type="dxa" w:w="15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Before sowing</w:t>
            </w:r>
          </w:p>
        </w:tc>
        <w:tc>
          <w:tcPr>
            <w:tcW w:type="dxa" w:w="375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Soil baseline, crop/variety, climate normals and management scenario</w:t>
            </w:r>
          </w:p>
        </w:tc>
        <w:tc>
          <w:tcPr>
            <w:tcW w:type="dxa" w:w="24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Scenario planning; not an operational promise</w:t>
            </w:r>
          </w:p>
        </w:tc>
      </w:tr>
      <w:tr>
        <w:trPr>
          <w:cantSplit/>
        </w:trPr>
        <w:tc>
          <w:tcPr>
            <w:tcW w:type="dxa" w:w="165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Establishment update</w:t>
            </w:r>
          </w:p>
        </w:tc>
        <w:tc>
          <w:tcPr>
            <w:tcW w:type="dxa" w:w="15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After emergence</w:t>
            </w:r>
          </w:p>
        </w:tc>
        <w:tc>
          <w:tcPr>
            <w:tcW w:type="dxa" w:w="375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Stand count/gaps, treatment, soil-water and weather</w:t>
            </w:r>
          </w:p>
        </w:tc>
        <w:tc>
          <w:tcPr>
            <w:tcW w:type="dxa" w:w="24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Replant/management assessment</w:t>
            </w:r>
          </w:p>
        </w:tc>
      </w:tr>
      <w:tr>
        <w:trPr>
          <w:cantSplit/>
        </w:trPr>
        <w:tc>
          <w:tcPr>
            <w:tcW w:type="dxa" w:w="165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In-season dynamic</w:t>
            </w:r>
          </w:p>
        </w:tc>
        <w:tc>
          <w:tcPr>
            <w:tcW w:type="dxa" w:w="15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Each stage</w:t>
            </w:r>
          </w:p>
        </w:tc>
        <w:tc>
          <w:tcPr>
            <w:tcW w:type="dxa" w:w="375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Canopy, phenology, stress exposure, operations and forecast weather</w:t>
            </w:r>
          </w:p>
        </w:tc>
        <w:tc>
          <w:tcPr>
            <w:tcW w:type="dxa" w:w="24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Resource and risk planning</w:t>
            </w:r>
          </w:p>
        </w:tc>
      </w:tr>
      <w:tr>
        <w:trPr>
          <w:cantSplit/>
        </w:trPr>
        <w:tc>
          <w:tcPr>
            <w:tcW w:type="dxa" w:w="165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Pre-harvest</w:t>
            </w:r>
          </w:p>
        </w:tc>
        <w:tc>
          <w:tcPr>
            <w:tcW w:type="dxa" w:w="15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Final weeks/days</w:t>
            </w:r>
          </w:p>
        </w:tc>
        <w:tc>
          <w:tcPr>
            <w:tcW w:type="dxa" w:w="375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Maturity, biomass/yield proxies, harvest loss and weather window</w:t>
            </w:r>
          </w:p>
        </w:tc>
        <w:tc>
          <w:tcPr>
            <w:tcW w:type="dxa" w:w="24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Labour, machine, storage and route planning</w:t>
            </w:r>
          </w:p>
        </w:tc>
      </w:tr>
      <w:tr>
        <w:trPr>
          <w:cantSplit/>
        </w:trPr>
        <w:tc>
          <w:tcPr>
            <w:tcW w:type="dxa" w:w="165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Final measured</w:t>
            </w:r>
          </w:p>
        </w:tc>
        <w:tc>
          <w:tcPr>
            <w:tcW w:type="dxa" w:w="15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At harvest</w:t>
            </w:r>
          </w:p>
        </w:tc>
        <w:tc>
          <w:tcPr>
            <w:tcW w:type="dxa" w:w="375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Weighed/verified quantity and quality by plot/zone</w:t>
            </w:r>
          </w:p>
        </w:tc>
        <w:tc>
          <w:tcPr>
            <w:tcW w:type="dxa" w:w="24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Model evaluation and next-season learning</w:t>
            </w:r>
          </w:p>
        </w:tc>
      </w:tr>
    </w:tbl>
    <w:p>
      <w:pPr>
        <w:keepNext w:val="0"/>
        <w:spacing w:before="0" w:after="40" w:line="300" w:lineRule="auto"/>
        <w:jc w:val="left"/>
      </w:pPr>
      <w:r>
        <w:rPr>
          <w:rFonts w:ascii="Calibri" w:hAnsi="Calibri" w:eastAsia="Calibri"/>
          <w:b w:val="0"/>
          <w:i w:val="0"/>
          <w:color w:val="111827"/>
          <w:sz w:val="22"/>
        </w:rPr>
      </w:r>
    </w:p>
    <w:p>
      <w:pPr>
        <w:pStyle w:val="Heading1"/>
      </w:pPr>
      <w:r>
        <w:t>10. Decision engine, dashboard and farm workflows</w:t>
      </w:r>
    </w:p>
    <w:p>
      <w:pPr>
        <w:pStyle w:val="Heading2"/>
      </w:pPr>
      <w:r>
        <w:t>10.1 Dashboard surfaces</w:t>
      </w:r>
    </w:p>
    <w:tbl>
      <w:tblPr>
        <w:tblStyle w:val="TableGrid"/>
        <w:tblW w:type="dxa" w:w="9360"/>
        <w:jc w:val="left"/>
        <w:tblLayout w:type="fixed"/>
        <w:tblLook w:firstColumn="1" w:firstRow="1" w:lastColumn="0" w:lastRow="0" w:noHBand="0" w:noVBand="1" w:val="04A0"/>
        <w:tblInd w:w="120" w:type="dxa"/>
      </w:tblPr>
      <w:tblGrid>
        <w:gridCol w:w="1650"/>
        <w:gridCol w:w="4500"/>
        <w:gridCol w:w="3210"/>
      </w:tblGrid>
      <w:tr>
        <w:trPr>
          <w:tblHeader w:val="true"/>
          <w:cantSplit/>
        </w:trPr>
        <w:tc>
          <w:tcPr>
            <w:tcW w:type="dxa" w:w="1650"/>
            <w:shd w:fill="E8EEF5"/>
            <w:vAlign w:val="center"/>
            <w:tcMar>
              <w:top w:w="80" w:type="dxa"/>
              <w:start w:w="120" w:type="dxa"/>
              <w:bottom w:w="80" w:type="dxa"/>
              <w:end w:w="120" w:type="dxa"/>
            </w:tcMar>
          </w:tcPr>
          <w:p>
            <w:pPr>
              <w:spacing w:after="0" w:line="252" w:lineRule="auto"/>
              <w:jc w:val="center"/>
            </w:pPr>
            <w:r>
              <w:rPr>
                <w:rFonts w:ascii="Calibri" w:hAnsi="Calibri" w:eastAsia="Calibri"/>
                <w:b/>
                <w:color w:val="0B2545"/>
                <w:sz w:val="16"/>
              </w:rPr>
              <w:t>Surface</w:t>
            </w:r>
          </w:p>
        </w:tc>
        <w:tc>
          <w:tcPr>
            <w:tcW w:type="dxa" w:w="4500"/>
            <w:shd w:fill="E8EEF5"/>
            <w:vAlign w:val="center"/>
            <w:tcMar>
              <w:top w:w="80" w:type="dxa"/>
              <w:start w:w="120" w:type="dxa"/>
              <w:bottom w:w="80" w:type="dxa"/>
              <w:end w:w="120" w:type="dxa"/>
            </w:tcMar>
          </w:tcPr>
          <w:p>
            <w:pPr>
              <w:spacing w:after="0" w:line="252" w:lineRule="auto"/>
              <w:jc w:val="center"/>
            </w:pPr>
            <w:r>
              <w:rPr>
                <w:rFonts w:ascii="Calibri" w:hAnsi="Calibri" w:eastAsia="Calibri"/>
                <w:b/>
                <w:color w:val="0B2545"/>
                <w:sz w:val="16"/>
              </w:rPr>
              <w:t>Must show</w:t>
            </w:r>
          </w:p>
        </w:tc>
        <w:tc>
          <w:tcPr>
            <w:tcW w:type="dxa" w:w="3210"/>
            <w:shd w:fill="E8EEF5"/>
            <w:vAlign w:val="center"/>
            <w:tcMar>
              <w:top w:w="80" w:type="dxa"/>
              <w:start w:w="120" w:type="dxa"/>
              <w:bottom w:w="80" w:type="dxa"/>
              <w:end w:w="120" w:type="dxa"/>
            </w:tcMar>
          </w:tcPr>
          <w:p>
            <w:pPr>
              <w:spacing w:after="0" w:line="252" w:lineRule="auto"/>
              <w:jc w:val="center"/>
            </w:pPr>
            <w:r>
              <w:rPr>
                <w:rFonts w:ascii="Calibri" w:hAnsi="Calibri" w:eastAsia="Calibri"/>
                <w:b/>
                <w:color w:val="0B2545"/>
                <w:sz w:val="16"/>
              </w:rPr>
              <w:t>Primary user decision</w:t>
            </w:r>
          </w:p>
        </w:tc>
      </w:tr>
      <w:tr>
        <w:trPr>
          <w:cantSplit/>
        </w:trPr>
        <w:tc>
          <w:tcPr>
            <w:tcW w:type="dxa" w:w="165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Farm command</w:t>
            </w:r>
          </w:p>
        </w:tc>
        <w:tc>
          <w:tcPr>
            <w:tcW w:type="dxa" w:w="45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Active crop cycles, 100-hour alerts, resource conflicts and task status</w:t>
            </w:r>
          </w:p>
        </w:tc>
        <w:tc>
          <w:tcPr>
            <w:tcW w:type="dxa" w:w="321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What requires attention now and next</w:t>
            </w:r>
          </w:p>
        </w:tc>
      </w:tr>
      <w:tr>
        <w:trPr>
          <w:cantSplit/>
        </w:trPr>
        <w:tc>
          <w:tcPr>
            <w:tcW w:type="dxa" w:w="165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Field map</w:t>
            </w:r>
          </w:p>
        </w:tc>
        <w:tc>
          <w:tcPr>
            <w:tcW w:type="dxa" w:w="45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Plots/zones, soil-water/stress state, uncertainty and latest imagery</w:t>
            </w:r>
          </w:p>
        </w:tc>
        <w:tc>
          <w:tcPr>
            <w:tcW w:type="dxa" w:w="321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Where to inspect or operate</w:t>
            </w:r>
          </w:p>
        </w:tc>
      </w:tr>
      <w:tr>
        <w:trPr>
          <w:cantSplit/>
        </w:trPr>
        <w:tc>
          <w:tcPr>
            <w:tcW w:type="dxa" w:w="165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Soil360</w:t>
            </w:r>
          </w:p>
        </w:tc>
        <w:tc>
          <w:tcPr>
            <w:tcW w:type="dxa" w:w="45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Depth profiles, samples, sensor quality, treatment and water balance</w:t>
            </w:r>
          </w:p>
        </w:tc>
        <w:tc>
          <w:tcPr>
            <w:tcW w:type="dxa" w:w="321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What is changing in the soil and why</w:t>
            </w:r>
          </w:p>
        </w:tc>
      </w:tr>
      <w:tr>
        <w:trPr>
          <w:cantSplit/>
        </w:trPr>
        <w:tc>
          <w:tcPr>
            <w:tcW w:type="dxa" w:w="165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Crop 360</w:t>
            </w:r>
          </w:p>
        </w:tc>
        <w:tc>
          <w:tcPr>
            <w:tcW w:type="dxa" w:w="45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Phenology, canopy/stand, stress, disease evidence and yield trend</w:t>
            </w:r>
          </w:p>
        </w:tc>
        <w:tc>
          <w:tcPr>
            <w:tcW w:type="dxa" w:w="321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Whether crop development is on track</w:t>
            </w:r>
          </w:p>
        </w:tc>
      </w:tr>
      <w:tr>
        <w:trPr>
          <w:cantSplit/>
        </w:trPr>
        <w:tc>
          <w:tcPr>
            <w:tcW w:type="dxa" w:w="165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Treatment comparison</w:t>
            </w:r>
          </w:p>
        </w:tc>
        <w:tc>
          <w:tcPr>
            <w:tcW w:type="dxa" w:w="45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Control vs mulch/hydrogel/amendment response and cost</w:t>
            </w:r>
          </w:p>
        </w:tc>
        <w:tc>
          <w:tcPr>
            <w:tcW w:type="dxa" w:w="321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Whether benefit is real and repeatable</w:t>
            </w:r>
          </w:p>
        </w:tc>
      </w:tr>
      <w:tr>
        <w:trPr>
          <w:cantSplit/>
        </w:trPr>
        <w:tc>
          <w:tcPr>
            <w:tcW w:type="dxa" w:w="165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Task board</w:t>
            </w:r>
          </w:p>
        </w:tc>
        <w:tc>
          <w:tcPr>
            <w:tcW w:type="dxa" w:w="45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Planned/assigned/started/completed/verified work</w:t>
            </w:r>
          </w:p>
        </w:tc>
        <w:tc>
          <w:tcPr>
            <w:tcW w:type="dxa" w:w="321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Who acts, when and with what evidence</w:t>
            </w:r>
          </w:p>
        </w:tc>
      </w:tr>
      <w:tr>
        <w:trPr>
          <w:cantSplit/>
        </w:trPr>
        <w:tc>
          <w:tcPr>
            <w:tcW w:type="dxa" w:w="165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Model/evidence</w:t>
            </w:r>
          </w:p>
        </w:tc>
        <w:tc>
          <w:tcPr>
            <w:tcW w:type="dxa" w:w="45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Version, inputs, confidence, explanation and evaluation</w:t>
            </w:r>
          </w:p>
        </w:tc>
        <w:tc>
          <w:tcPr>
            <w:tcW w:type="dxa" w:w="321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Whether an alert/forecast is trustworthy</w:t>
            </w:r>
          </w:p>
        </w:tc>
      </w:tr>
    </w:tbl>
    <w:p>
      <w:pPr>
        <w:keepNext w:val="0"/>
        <w:spacing w:before="0" w:after="40" w:line="300" w:lineRule="auto"/>
        <w:jc w:val="left"/>
      </w:pPr>
      <w:r>
        <w:rPr>
          <w:rFonts w:ascii="Calibri" w:hAnsi="Calibri" w:eastAsia="Calibri"/>
          <w:b w:val="0"/>
          <w:i w:val="0"/>
          <w:color w:val="111827"/>
          <w:sz w:val="22"/>
        </w:rPr>
      </w:r>
    </w:p>
    <w:p>
      <w:pPr>
        <w:pStyle w:val="Heading2"/>
      </w:pPr>
      <w:r>
        <w:t>10.2 Required end-to-end workflows</w:t>
      </w:r>
    </w:p>
    <w:p>
      <w:pPr>
        <w:numPr>
          <w:ilvl w:val="0"/>
          <w:numId w:val="14"/>
        </w:numPr>
        <w:spacing w:after="80" w:line="300" w:lineRule="auto"/>
      </w:pPr>
      <w:r>
        <w:rPr>
          <w:rFonts w:ascii="Calibri" w:hAnsi="Calibri" w:eastAsia="Calibri"/>
          <w:color w:val="111827"/>
          <w:sz w:val="22"/>
        </w:rPr>
        <w:t>Register farm -&gt; draw/import field -&gt; create plot/zone -&gt; begin crop cycle.</w:t>
      </w:r>
    </w:p>
    <w:p>
      <w:pPr>
        <w:numPr>
          <w:ilvl w:val="0"/>
          <w:numId w:val="14"/>
        </w:numPr>
        <w:spacing w:after="80" w:line="300" w:lineRule="auto"/>
      </w:pPr>
      <w:r>
        <w:rPr>
          <w:rFonts w:ascii="Calibri" w:hAnsi="Calibri" w:eastAsia="Calibri"/>
          <w:color w:val="111827"/>
          <w:sz w:val="22"/>
        </w:rPr>
        <w:t>Design soil sampling -&gt; capture sample -&gt; import lab result -&gt; update soil baseline.</w:t>
      </w:r>
    </w:p>
    <w:p>
      <w:pPr>
        <w:numPr>
          <w:ilvl w:val="0"/>
          <w:numId w:val="14"/>
        </w:numPr>
        <w:spacing w:after="80" w:line="300" w:lineRule="auto"/>
      </w:pPr>
      <w:r>
        <w:rPr>
          <w:rFonts w:ascii="Calibri" w:hAnsi="Calibri" w:eastAsia="Calibri"/>
          <w:color w:val="111827"/>
          <w:sz w:val="22"/>
        </w:rPr>
        <w:t>Register sensor -&gt; calibrate -&gt; install with depth/location -&gt; stream/replay observations.</w:t>
      </w:r>
    </w:p>
    <w:p>
      <w:pPr>
        <w:numPr>
          <w:ilvl w:val="0"/>
          <w:numId w:val="14"/>
        </w:numPr>
        <w:spacing w:after="80" w:line="300" w:lineRule="auto"/>
      </w:pPr>
      <w:r>
        <w:rPr>
          <w:rFonts w:ascii="Calibri" w:hAnsi="Calibri" w:eastAsia="Calibri"/>
          <w:color w:val="111827"/>
          <w:sz w:val="22"/>
        </w:rPr>
        <w:t>Create treatment/control plan -&gt; approve -&gt; apply -&gt; verify -&gt; compare response.</w:t>
      </w:r>
    </w:p>
    <w:p>
      <w:pPr>
        <w:numPr>
          <w:ilvl w:val="0"/>
          <w:numId w:val="14"/>
        </w:numPr>
        <w:spacing w:after="80" w:line="300" w:lineRule="auto"/>
      </w:pPr>
      <w:r>
        <w:rPr>
          <w:rFonts w:ascii="Calibri" w:hAnsi="Calibri" w:eastAsia="Calibri"/>
          <w:color w:val="111827"/>
          <w:sz w:val="22"/>
        </w:rPr>
        <w:t>Ingest weather/satellite/camera data -&gt; update twin -&gt; issue or suppress alert.</w:t>
      </w:r>
    </w:p>
    <w:p>
      <w:pPr>
        <w:numPr>
          <w:ilvl w:val="0"/>
          <w:numId w:val="14"/>
        </w:numPr>
        <w:spacing w:after="80" w:line="300" w:lineRule="auto"/>
      </w:pPr>
      <w:r>
        <w:rPr>
          <w:rFonts w:ascii="Calibri" w:hAnsi="Calibri" w:eastAsia="Calibri"/>
          <w:color w:val="111827"/>
          <w:sz w:val="22"/>
        </w:rPr>
        <w:t>Create recommendation -&gt; human approve -&gt; assign manual task or mission request -&gt; verify outcome.</w:t>
      </w:r>
    </w:p>
    <w:p>
      <w:pPr>
        <w:numPr>
          <w:ilvl w:val="0"/>
          <w:numId w:val="14"/>
        </w:numPr>
        <w:spacing w:after="80" w:line="300" w:lineRule="auto"/>
      </w:pPr>
      <w:r>
        <w:rPr>
          <w:rFonts w:ascii="Calibri" w:hAnsi="Calibri" w:eastAsia="Calibri"/>
          <w:color w:val="111827"/>
          <w:sz w:val="22"/>
        </w:rPr>
        <w:t>Forecast yield -&gt; harvest by plot/zone -&gt; record actual -&gt; evaluate model and treatment.</w:t>
      </w:r>
    </w:p>
    <w:p>
      <w:pPr>
        <w:numPr>
          <w:ilvl w:val="0"/>
          <w:numId w:val="14"/>
        </w:numPr>
        <w:spacing w:after="80" w:line="300" w:lineRule="auto"/>
      </w:pPr>
      <w:r>
        <w:rPr>
          <w:rFonts w:ascii="Calibri" w:hAnsi="Calibri" w:eastAsia="Calibri"/>
          <w:color w:val="111827"/>
          <w:sz w:val="22"/>
        </w:rPr>
        <w:t>Close season -&gt; generate soil/crop report -&gt; preserve lessons for next season.</w:t>
      </w:r>
    </w:p>
    <w:p>
      <w:pPr>
        <w:pStyle w:val="Heading2"/>
      </w:pPr>
      <w:r>
        <w:t>10.3 Standalone completion definition</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E8EEF5"/>
            <w:tcBorders>
              <w:top w:val="nil"/>
              <w:left w:val="single" w:sz="12" w:space="0" w:color="2E74B5"/>
              <w:bottom w:val="nil"/>
              <w:right w:val="nil"/>
            </w:tcBorders>
          </w:tcPr>
          <w:p>
            <w:pPr>
              <w:spacing w:after="40" w:line="288" w:lineRule="auto"/>
            </w:pPr>
            <w:r>
              <w:rPr>
                <w:rFonts w:ascii="Calibri" w:hAnsi="Calibri" w:eastAsia="Calibri"/>
                <w:b/>
                <w:color w:val="2E74B5"/>
                <w:sz w:val="21"/>
              </w:rPr>
              <w:t xml:space="preserve">Module-complete criterion. </w:t>
            </w:r>
            <w:r>
              <w:rPr>
                <w:rFonts w:ascii="Calibri" w:hAnsi="Calibri" w:eastAsia="Calibri"/>
                <w:color w:val="111827"/>
                <w:sz w:val="21"/>
              </w:rPr>
              <w:t>Apollo AgriGuard is complete when a user can execute every workflow with human/manual farm tasks, view the synchronized twin, receive and acknowledge alerts, compare predictions with outcomes and export reports. A robot adds execution capacity but is not required for completion.</w:t>
            </w:r>
          </w:p>
        </w:tc>
      </w:tr>
    </w:tbl>
    <w:p>
      <w:pPr>
        <w:keepNext w:val="0"/>
        <w:spacing w:before="0" w:after="40" w:line="300" w:lineRule="auto"/>
        <w:jc w:val="left"/>
      </w:pPr>
      <w:r>
        <w:rPr>
          <w:rFonts w:ascii="Calibri" w:hAnsi="Calibri" w:eastAsia="Calibri"/>
          <w:b w:val="0"/>
          <w:i w:val="0"/>
          <w:color w:val="111827"/>
          <w:sz w:val="22"/>
        </w:rPr>
      </w:r>
    </w:p>
    <w:p>
      <w:pPr>
        <w:pStyle w:val="Heading1"/>
      </w:pPr>
      <w:r>
        <w:t>11. Apollo Indian field dataset and annotation programme</w:t>
      </w:r>
    </w:p>
    <w:p>
      <w:pPr>
        <w:pStyle w:val="Heading2"/>
      </w:pPr>
      <w:r>
        <w:t>11.1 Dataset identity</w:t>
      </w:r>
    </w:p>
    <w:p>
      <w:pPr>
        <w:keepNext w:val="0"/>
        <w:spacing w:before="0" w:after="120" w:line="300" w:lineRule="auto"/>
        <w:jc w:val="left"/>
      </w:pPr>
      <w:r>
        <w:rPr>
          <w:rFonts w:ascii="Calibri" w:hAnsi="Calibri" w:eastAsia="Calibri"/>
          <w:b w:val="0"/>
          <w:i w:val="0"/>
          <w:color w:val="111827"/>
          <w:sz w:val="22"/>
        </w:rPr>
        <w:t>Recommended name: Apollo Soil360 Field Benchmark (AS360-FB). It should be versioned by crop, farm, season and release; raw private farm data and de-identified/public benchmark releases must remain distinct.</w:t>
      </w:r>
    </w:p>
    <w:p>
      <w:pPr>
        <w:pStyle w:val="Heading2"/>
      </w:pPr>
      <w:r>
        <w:t>11.2 Collection plan</w:t>
      </w:r>
    </w:p>
    <w:tbl>
      <w:tblPr>
        <w:tblStyle w:val="TableGrid"/>
        <w:tblW w:type="dxa" w:w="9360"/>
        <w:jc w:val="left"/>
        <w:tblLayout w:type="fixed"/>
        <w:tblLook w:firstColumn="1" w:firstRow="1" w:lastColumn="0" w:lastRow="0" w:noHBand="0" w:noVBand="1" w:val="04A0"/>
        <w:tblInd w:w="120" w:type="dxa"/>
      </w:tblPr>
      <w:tblGrid>
        <w:gridCol w:w="1600"/>
        <w:gridCol w:w="4250"/>
        <w:gridCol w:w="3510"/>
      </w:tblGrid>
      <w:tr>
        <w:trPr>
          <w:tblHeader w:val="true"/>
          <w:cantSplit/>
        </w:trPr>
        <w:tc>
          <w:tcPr>
            <w:tcW w:type="dxa" w:w="1600"/>
            <w:shd w:fill="E8EEF5"/>
            <w:vAlign w:val="center"/>
            <w:tcMar>
              <w:top w:w="80" w:type="dxa"/>
              <w:start w:w="120" w:type="dxa"/>
              <w:bottom w:w="80" w:type="dxa"/>
              <w:end w:w="120" w:type="dxa"/>
            </w:tcMar>
          </w:tcPr>
          <w:p>
            <w:pPr>
              <w:spacing w:after="0" w:line="252" w:lineRule="auto"/>
              <w:jc w:val="center"/>
            </w:pPr>
            <w:r>
              <w:rPr>
                <w:rFonts w:ascii="Calibri" w:hAnsi="Calibri" w:eastAsia="Calibri"/>
                <w:b/>
                <w:color w:val="0B2545"/>
                <w:sz w:val="16"/>
              </w:rPr>
              <w:t>Data family</w:t>
            </w:r>
          </w:p>
        </w:tc>
        <w:tc>
          <w:tcPr>
            <w:tcW w:type="dxa" w:w="4250"/>
            <w:shd w:fill="E8EEF5"/>
            <w:vAlign w:val="center"/>
            <w:tcMar>
              <w:top w:w="80" w:type="dxa"/>
              <w:start w:w="120" w:type="dxa"/>
              <w:bottom w:w="80" w:type="dxa"/>
              <w:end w:w="120" w:type="dxa"/>
            </w:tcMar>
          </w:tcPr>
          <w:p>
            <w:pPr>
              <w:spacing w:after="0" w:line="252" w:lineRule="auto"/>
              <w:jc w:val="center"/>
            </w:pPr>
            <w:r>
              <w:rPr>
                <w:rFonts w:ascii="Calibri" w:hAnsi="Calibri" w:eastAsia="Calibri"/>
                <w:b/>
                <w:color w:val="0B2545"/>
                <w:sz w:val="16"/>
              </w:rPr>
              <w:t>Minimum fields</w:t>
            </w:r>
          </w:p>
        </w:tc>
        <w:tc>
          <w:tcPr>
            <w:tcW w:type="dxa" w:w="3510"/>
            <w:shd w:fill="E8EEF5"/>
            <w:vAlign w:val="center"/>
            <w:tcMar>
              <w:top w:w="80" w:type="dxa"/>
              <w:start w:w="120" w:type="dxa"/>
              <w:bottom w:w="80" w:type="dxa"/>
              <w:end w:w="120" w:type="dxa"/>
            </w:tcMar>
          </w:tcPr>
          <w:p>
            <w:pPr>
              <w:spacing w:after="0" w:line="252" w:lineRule="auto"/>
              <w:jc w:val="center"/>
            </w:pPr>
            <w:r>
              <w:rPr>
                <w:rFonts w:ascii="Calibri" w:hAnsi="Calibri" w:eastAsia="Calibri"/>
                <w:b/>
                <w:color w:val="0B2545"/>
                <w:sz w:val="16"/>
              </w:rPr>
              <w:t>Collection rule</w:t>
            </w:r>
          </w:p>
        </w:tc>
      </w:tr>
      <w:tr>
        <w:trPr>
          <w:cantSplit/>
        </w:trPr>
        <w:tc>
          <w:tcPr>
            <w:tcW w:type="dxa" w:w="16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Farm/terrain</w:t>
            </w:r>
          </w:p>
        </w:tc>
        <w:tc>
          <w:tcPr>
            <w:tcW w:type="dxa" w:w="425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Boundary, DEM/slope, plot polygons, drainage, soil map and survey method</w:t>
            </w:r>
          </w:p>
        </w:tc>
        <w:tc>
          <w:tcPr>
            <w:tcW w:type="dxa" w:w="351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Freeze geometry version before trial; version later edits</w:t>
            </w:r>
          </w:p>
        </w:tc>
      </w:tr>
      <w:tr>
        <w:trPr>
          <w:cantSplit/>
        </w:trPr>
        <w:tc>
          <w:tcPr>
            <w:tcW w:type="dxa" w:w="16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Soil samples</w:t>
            </w:r>
          </w:p>
        </w:tc>
        <w:tc>
          <w:tcPr>
            <w:tcW w:type="dxa" w:w="425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Depth, location, time, method, lab, pH, EC, SOC/OC, NPK and selected physical data</w:t>
            </w:r>
          </w:p>
        </w:tc>
        <w:tc>
          <w:tcPr>
            <w:tcW w:type="dxa" w:w="351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Use verified units, lab method and chain of custody</w:t>
            </w:r>
          </w:p>
        </w:tc>
      </w:tr>
      <w:tr>
        <w:trPr>
          <w:cantSplit/>
        </w:trPr>
        <w:tc>
          <w:tcPr>
            <w:tcW w:type="dxa" w:w="16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IoT</w:t>
            </w:r>
          </w:p>
        </w:tc>
        <w:tc>
          <w:tcPr>
            <w:tcW w:type="dxa" w:w="425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Raw value, converted value, device, depth, location, time, calibration and quality</w:t>
            </w:r>
          </w:p>
        </w:tc>
        <w:tc>
          <w:tcPr>
            <w:tcW w:type="dxa" w:w="351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Retain raw + corrected; buffer during outages</w:t>
            </w:r>
          </w:p>
        </w:tc>
      </w:tr>
      <w:tr>
        <w:trPr>
          <w:cantSplit/>
        </w:trPr>
        <w:tc>
          <w:tcPr>
            <w:tcW w:type="dxa" w:w="16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Treatment</w:t>
            </w:r>
          </w:p>
        </w:tc>
        <w:tc>
          <w:tcPr>
            <w:tcW w:type="dxa" w:w="425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Type, material, batch, amount, method, control/block, application and verification</w:t>
            </w:r>
          </w:p>
        </w:tc>
        <w:tc>
          <w:tcPr>
            <w:tcW w:type="dxa" w:w="351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No unlabelled treatment mixing across plots</w:t>
            </w:r>
          </w:p>
        </w:tc>
      </w:tr>
      <w:tr>
        <w:trPr>
          <w:cantSplit/>
        </w:trPr>
        <w:tc>
          <w:tcPr>
            <w:tcW w:type="dxa" w:w="16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Crop</w:t>
            </w:r>
          </w:p>
        </w:tc>
        <w:tc>
          <w:tcPr>
            <w:tcW w:type="dxa" w:w="425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Crop/variety, sowing, emergence, plant/stand, stage, canopy, stress and scouting</w:t>
            </w:r>
          </w:p>
        </w:tc>
        <w:tc>
          <w:tcPr>
            <w:tcW w:type="dxa" w:w="351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Use shared ontology and repeated viewpoints</w:t>
            </w:r>
          </w:p>
        </w:tc>
      </w:tr>
      <w:tr>
        <w:trPr>
          <w:cantSplit/>
        </w:trPr>
        <w:tc>
          <w:tcPr>
            <w:tcW w:type="dxa" w:w="16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Imagery</w:t>
            </w:r>
          </w:p>
        </w:tc>
        <w:tc>
          <w:tcPr>
            <w:tcW w:type="dxa" w:w="425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RGB/thermal/multispectral, camera, pose/location, time, weather and labels</w:t>
            </w:r>
          </w:p>
        </w:tc>
        <w:tc>
          <w:tcPr>
            <w:tcW w:type="dxa" w:w="351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Split by farm/season, not random near-duplicate frames</w:t>
            </w:r>
          </w:p>
        </w:tc>
      </w:tr>
      <w:tr>
        <w:trPr>
          <w:cantSplit/>
        </w:trPr>
        <w:tc>
          <w:tcPr>
            <w:tcW w:type="dxa" w:w="16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Operations</w:t>
            </w:r>
          </w:p>
        </w:tc>
        <w:tc>
          <w:tcPr>
            <w:tcW w:type="dxa" w:w="425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Task, reason, recommendation, approval, executor, materials, start/end and outcome</w:t>
            </w:r>
          </w:p>
        </w:tc>
        <w:tc>
          <w:tcPr>
            <w:tcW w:type="dxa" w:w="351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Separate recommendation, completion and verification</w:t>
            </w:r>
          </w:p>
        </w:tc>
      </w:tr>
      <w:tr>
        <w:trPr>
          <w:cantSplit/>
        </w:trPr>
        <w:tc>
          <w:tcPr>
            <w:tcW w:type="dxa" w:w="16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Harvest</w:t>
            </w:r>
          </w:p>
        </w:tc>
        <w:tc>
          <w:tcPr>
            <w:tcW w:type="dxa" w:w="425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Plot/zone area, quantity, quality, moisture, loss, method and time</w:t>
            </w:r>
          </w:p>
        </w:tc>
        <w:tc>
          <w:tcPr>
            <w:tcW w:type="dxa" w:w="351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Measure; do not infer ground truth from model</w:t>
            </w:r>
          </w:p>
        </w:tc>
      </w:tr>
    </w:tbl>
    <w:p>
      <w:pPr>
        <w:keepNext w:val="0"/>
        <w:spacing w:before="0" w:after="40" w:line="300" w:lineRule="auto"/>
        <w:jc w:val="left"/>
      </w:pPr>
      <w:r>
        <w:rPr>
          <w:rFonts w:ascii="Calibri" w:hAnsi="Calibri" w:eastAsia="Calibri"/>
          <w:b w:val="0"/>
          <w:i w:val="0"/>
          <w:color w:val="111827"/>
          <w:sz w:val="22"/>
        </w:rPr>
      </w:r>
    </w:p>
    <w:p>
      <w:pPr>
        <w:pStyle w:val="Heading2"/>
      </w:pPr>
      <w:r>
        <w:t>11.3 Annotation ontology</w:t>
      </w:r>
    </w:p>
    <w:p>
      <w:pPr>
        <w:numPr>
          <w:ilvl w:val="0"/>
          <w:numId w:val="10"/>
        </w:numPr>
        <w:spacing w:after="80" w:line="300" w:lineRule="auto"/>
      </w:pPr>
      <w:r>
        <w:rPr>
          <w:rFonts w:ascii="Calibri" w:hAnsi="Calibri" w:eastAsia="Calibri"/>
          <w:color w:val="111827"/>
          <w:sz w:val="22"/>
        </w:rPr>
        <w:t>Geometry: farm, field, plot, management zone, row/segment and sensor point.</w:t>
      </w:r>
    </w:p>
    <w:p>
      <w:pPr>
        <w:numPr>
          <w:ilvl w:val="0"/>
          <w:numId w:val="10"/>
        </w:numPr>
        <w:spacing w:after="80" w:line="300" w:lineRule="auto"/>
      </w:pPr>
      <w:r>
        <w:rPr>
          <w:rFonts w:ascii="Calibri" w:hAnsi="Calibri" w:eastAsia="Calibri"/>
          <w:color w:val="111827"/>
          <w:sz w:val="22"/>
        </w:rPr>
        <w:t>Crop: crop/variety, growth stage, stand count, gap, canopy cover and maturity.</w:t>
      </w:r>
    </w:p>
    <w:p>
      <w:pPr>
        <w:numPr>
          <w:ilvl w:val="0"/>
          <w:numId w:val="10"/>
        </w:numPr>
        <w:spacing w:after="80" w:line="300" w:lineRule="auto"/>
      </w:pPr>
      <w:r>
        <w:rPr>
          <w:rFonts w:ascii="Calibri" w:hAnsi="Calibri" w:eastAsia="Calibri"/>
          <w:color w:val="111827"/>
          <w:sz w:val="22"/>
        </w:rPr>
        <w:t>Visual stress: healthy/unknown plus expert-confirmed disease, pest, weed, nutrient and abiotic classes.</w:t>
      </w:r>
    </w:p>
    <w:p>
      <w:pPr>
        <w:numPr>
          <w:ilvl w:val="0"/>
          <w:numId w:val="10"/>
        </w:numPr>
        <w:spacing w:after="80" w:line="300" w:lineRule="auto"/>
      </w:pPr>
      <w:r>
        <w:rPr>
          <w:rFonts w:ascii="Calibri" w:hAnsi="Calibri" w:eastAsia="Calibri"/>
          <w:color w:val="111827"/>
          <w:sz w:val="22"/>
        </w:rPr>
        <w:t>Soil/treatment: control, mulch, hydrogel, amendment, irrigation regime and installation quality.</w:t>
      </w:r>
    </w:p>
    <w:p>
      <w:pPr>
        <w:numPr>
          <w:ilvl w:val="0"/>
          <w:numId w:val="10"/>
        </w:numPr>
        <w:spacing w:after="80" w:line="300" w:lineRule="auto"/>
      </w:pPr>
      <w:r>
        <w:rPr>
          <w:rFonts w:ascii="Calibri" w:hAnsi="Calibri" w:eastAsia="Calibri"/>
          <w:color w:val="111827"/>
          <w:sz w:val="22"/>
        </w:rPr>
        <w:t>Event: planned, executed, verified and outcome timestamps.</w:t>
      </w:r>
    </w:p>
    <w:p>
      <w:pPr>
        <w:numPr>
          <w:ilvl w:val="0"/>
          <w:numId w:val="10"/>
        </w:numPr>
        <w:spacing w:after="80" w:line="300" w:lineRule="auto"/>
      </w:pPr>
      <w:r>
        <w:rPr>
          <w:rFonts w:ascii="Calibri" w:hAnsi="Calibri" w:eastAsia="Calibri"/>
          <w:color w:val="111827"/>
          <w:sz w:val="22"/>
        </w:rPr>
        <w:t>Quality: annotator, reviewer, confidence, evidence type and unresolved/unknown flag.</w:t>
      </w:r>
    </w:p>
    <w:p>
      <w:pPr>
        <w:pStyle w:val="Heading2"/>
      </w:pPr>
      <w:r>
        <w:t>11.4 Split and leakage policy</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F2F4F7"/>
            <w:tcBorders>
              <w:top w:val="nil"/>
              <w:left w:val="single" w:sz="12" w:space="0" w:color="9B1C1C"/>
              <w:bottom w:val="nil"/>
              <w:right w:val="nil"/>
            </w:tcBorders>
          </w:tcPr>
          <w:p>
            <w:pPr>
              <w:spacing w:after="40" w:line="288" w:lineRule="auto"/>
            </w:pPr>
            <w:r>
              <w:rPr>
                <w:rFonts w:ascii="Calibri" w:hAnsi="Calibri" w:eastAsia="Calibri"/>
                <w:b/>
                <w:color w:val="9B1C1C"/>
                <w:sz w:val="21"/>
              </w:rPr>
              <w:t xml:space="preserve">Evaluation rule. </w:t>
            </w:r>
            <w:r>
              <w:rPr>
                <w:rFonts w:ascii="Calibri" w:hAnsi="Calibri" w:eastAsia="Calibri"/>
                <w:color w:val="111827"/>
                <w:sz w:val="21"/>
              </w:rPr>
              <w:t>All publishable model results must use time-, plot-, farm- or season-separated splits appropriate to the claim. Adjacent video frames, repeat images of the same plant and measurements from the same treatment plot must not be scattered randomly across train and test sets.</w:t>
            </w:r>
          </w:p>
        </w:tc>
      </w:tr>
    </w:tbl>
    <w:p>
      <w:pPr>
        <w:keepNext w:val="0"/>
        <w:spacing w:before="0" w:after="40" w:line="300" w:lineRule="auto"/>
        <w:jc w:val="left"/>
      </w:pPr>
      <w:r>
        <w:rPr>
          <w:rFonts w:ascii="Calibri" w:hAnsi="Calibri" w:eastAsia="Calibri"/>
          <w:b w:val="0"/>
          <w:i w:val="0"/>
          <w:color w:val="111827"/>
          <w:sz w:val="22"/>
        </w:rPr>
      </w:r>
    </w:p>
    <w:p>
      <w:pPr>
        <w:pStyle w:val="Heading2"/>
      </w:pPr>
      <w:r>
        <w:t>11.5 Data governance</w:t>
      </w:r>
    </w:p>
    <w:p>
      <w:pPr>
        <w:numPr>
          <w:ilvl w:val="0"/>
          <w:numId w:val="10"/>
        </w:numPr>
        <w:spacing w:after="80" w:line="300" w:lineRule="auto"/>
      </w:pPr>
      <w:r>
        <w:rPr>
          <w:rFonts w:ascii="Calibri" w:hAnsi="Calibri" w:eastAsia="Calibri"/>
          <w:color w:val="111827"/>
          <w:sz w:val="22"/>
        </w:rPr>
        <w:t>Obtain farm permission and define ownership, research use, commercial use, retention and deletion before collection.</w:t>
      </w:r>
    </w:p>
    <w:p>
      <w:pPr>
        <w:numPr>
          <w:ilvl w:val="0"/>
          <w:numId w:val="10"/>
        </w:numPr>
        <w:spacing w:after="80" w:line="300" w:lineRule="auto"/>
      </w:pPr>
      <w:r>
        <w:rPr>
          <w:rFonts w:ascii="Calibri" w:hAnsi="Calibri" w:eastAsia="Calibri"/>
          <w:color w:val="111827"/>
          <w:sz w:val="22"/>
        </w:rPr>
        <w:t>Protect precise farm coordinates in public releases; publish de-identified geometry or controlled access where necessary.</w:t>
      </w:r>
    </w:p>
    <w:p>
      <w:pPr>
        <w:numPr>
          <w:ilvl w:val="0"/>
          <w:numId w:val="10"/>
        </w:numPr>
        <w:spacing w:after="80" w:line="300" w:lineRule="auto"/>
      </w:pPr>
      <w:r>
        <w:rPr>
          <w:rFonts w:ascii="Calibri" w:hAnsi="Calibri" w:eastAsia="Calibri"/>
          <w:color w:val="111827"/>
          <w:sz w:val="22"/>
        </w:rPr>
        <w:t>Maintain dataset cards, licences, consent records, annotation guidelines and known limitations.</w:t>
      </w:r>
    </w:p>
    <w:p>
      <w:pPr>
        <w:numPr>
          <w:ilvl w:val="0"/>
          <w:numId w:val="10"/>
        </w:numPr>
        <w:spacing w:after="80" w:line="300" w:lineRule="auto"/>
      </w:pPr>
      <w:r>
        <w:rPr>
          <w:rFonts w:ascii="Calibri" w:hAnsi="Calibri" w:eastAsia="Calibri"/>
          <w:color w:val="111827"/>
          <w:sz w:val="22"/>
        </w:rPr>
        <w:t>Version data with immutable manifests and checksums; do not move large raw datasets through ordinary Git branches.</w:t>
      </w:r>
    </w:p>
    <w:p>
      <w:pPr>
        <w:pStyle w:val="Heading1"/>
      </w:pPr>
      <w:r>
        <w:t>12. Public datasets, Earth observation and authoritative resources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E8EEF5"/>
            <w:tcBorders>
              <w:top w:val="nil"/>
              <w:left w:val="single" w:sz="12" w:space="0" w:color="2E74B5"/>
              <w:bottom w:val="nil"/>
              <w:right w:val="nil"/>
            </w:tcBorders>
          </w:tcPr>
          <w:p>
            <w:pPr>
              <w:spacing w:after="40" w:line="288" w:lineRule="auto"/>
            </w:pPr>
            <w:r>
              <w:rPr>
                <w:rFonts w:ascii="Calibri" w:hAnsi="Calibri" w:eastAsia="Calibri"/>
                <w:b/>
                <w:color w:val="2E74B5"/>
                <w:sz w:val="21"/>
              </w:rPr>
              <w:t xml:space="preserve">Use policy. </w:t>
            </w:r>
            <w:r>
              <w:rPr>
                <w:rFonts w:ascii="Calibri" w:hAnsi="Calibri" w:eastAsia="Calibri"/>
                <w:color w:val="111827"/>
                <w:sz w:val="21"/>
              </w:rPr>
              <w:t>Public datasets are for pretraining, physics baselines and benchmarking. They cannot replace local plot measurements for mulch/hydrogel response, Indian soil calibration or deployable crop thresholds. Re-check licence and terms before every training or commercial use.</w:t>
            </w:r>
          </w:p>
        </w:tc>
      </w:tr>
    </w:tbl>
    <w:p>
      <w:pPr>
        <w:keepNext w:val="0"/>
        <w:spacing w:before="0" w:after="40" w:line="300" w:lineRule="auto"/>
        <w:jc w:val="left"/>
      </w:pPr>
      <w:r>
        <w:rPr>
          <w:rFonts w:ascii="Calibri" w:hAnsi="Calibri" w:eastAsia="Calibri"/>
          <w:b w:val="0"/>
          <w:i w:val="0"/>
          <w:color w:val="111827"/>
          <w:sz w:val="22"/>
        </w:rPr>
      </w:r>
    </w:p>
    <w:p>
      <w:pPr>
        <w:pStyle w:val="Heading2"/>
      </w:pPr>
      <w:r>
        <w:t>12.1 Recommended resource registry</w:t>
      </w:r>
    </w:p>
    <w:tbl>
      <w:tblPr>
        <w:tblStyle w:val="TableGrid"/>
        <w:tblW w:type="dxa" w:w="9360"/>
        <w:jc w:val="left"/>
        <w:tblLayout w:type="fixed"/>
        <w:tblLook w:firstColumn="1" w:firstRow="1" w:lastColumn="0" w:lastRow="0" w:noHBand="0" w:noVBand="1" w:val="04A0"/>
        <w:tblInd w:w="120" w:type="dxa"/>
      </w:tblPr>
      <w:tblGrid>
        <w:gridCol w:w="1900"/>
        <w:gridCol w:w="3400"/>
        <w:gridCol w:w="4060"/>
      </w:tblGrid>
      <w:tr>
        <w:trPr>
          <w:tblHeader w:val="true"/>
          <w:cantSplit/>
        </w:trPr>
        <w:tc>
          <w:tcPr>
            <w:tcW w:type="dxa" w:w="1900"/>
            <w:shd w:fill="E8EEF5"/>
            <w:vAlign w:val="center"/>
            <w:tcMar>
              <w:top w:w="80" w:type="dxa"/>
              <w:start w:w="120" w:type="dxa"/>
              <w:bottom w:w="80" w:type="dxa"/>
              <w:end w:w="120" w:type="dxa"/>
            </w:tcMar>
          </w:tcPr>
          <w:p>
            <w:pPr>
              <w:spacing w:after="0" w:line="252" w:lineRule="auto"/>
              <w:jc w:val="center"/>
            </w:pPr>
            <w:r>
              <w:rPr>
                <w:rFonts w:ascii="Calibri" w:hAnsi="Calibri" w:eastAsia="Calibri"/>
                <w:b/>
                <w:color w:val="0B2545"/>
                <w:sz w:val="15"/>
              </w:rPr>
              <w:t>Resource</w:t>
            </w:r>
          </w:p>
        </w:tc>
        <w:tc>
          <w:tcPr>
            <w:tcW w:type="dxa" w:w="3400"/>
            <w:shd w:fill="E8EEF5"/>
            <w:vAlign w:val="center"/>
            <w:tcMar>
              <w:top w:w="80" w:type="dxa"/>
              <w:start w:w="120" w:type="dxa"/>
              <w:bottom w:w="80" w:type="dxa"/>
              <w:end w:w="120" w:type="dxa"/>
            </w:tcMar>
          </w:tcPr>
          <w:p>
            <w:pPr>
              <w:spacing w:after="0" w:line="252" w:lineRule="auto"/>
              <w:jc w:val="center"/>
            </w:pPr>
            <w:r>
              <w:rPr>
                <w:rFonts w:ascii="Calibri" w:hAnsi="Calibri" w:eastAsia="Calibri"/>
                <w:b/>
                <w:color w:val="0B2545"/>
                <w:sz w:val="15"/>
              </w:rPr>
              <w:t>Use</w:t>
            </w:r>
          </w:p>
        </w:tc>
        <w:tc>
          <w:tcPr>
            <w:tcW w:type="dxa" w:w="4060"/>
            <w:shd w:fill="E8EEF5"/>
            <w:vAlign w:val="center"/>
            <w:tcMar>
              <w:top w:w="80" w:type="dxa"/>
              <w:start w:w="120" w:type="dxa"/>
              <w:bottom w:w="80" w:type="dxa"/>
              <w:end w:w="120" w:type="dxa"/>
            </w:tcMar>
          </w:tcPr>
          <w:p>
            <w:pPr>
              <w:spacing w:after="0" w:line="252" w:lineRule="auto"/>
              <w:jc w:val="center"/>
            </w:pPr>
            <w:r>
              <w:rPr>
                <w:rFonts w:ascii="Calibri" w:hAnsi="Calibri" w:eastAsia="Calibri"/>
                <w:b/>
                <w:color w:val="0B2545"/>
                <w:sz w:val="15"/>
              </w:rPr>
              <w:t>Critical limitation</w:t>
            </w:r>
          </w:p>
        </w:tc>
      </w:tr>
      <w:tr>
        <w:trPr>
          <w:cantSplit/>
        </w:trPr>
        <w:tc>
          <w:tcPr>
            <w:tcW w:type="dxa" w:w="19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5"/>
              </w:rPr>
              <w:t>SoilGrids / ISRIC</w:t>
            </w:r>
          </w:p>
        </w:tc>
        <w:tc>
          <w:tcPr>
            <w:tcW w:type="dxa" w:w="34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5"/>
              </w:rPr>
              <w:t>Global 250 m soil-property priors at standard depths</w:t>
            </w:r>
          </w:p>
        </w:tc>
        <w:tc>
          <w:tcPr>
            <w:tcW w:type="dxa" w:w="40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5"/>
              </w:rPr>
              <w:t>Baseline covariate only; too coarse to claim plot/plant truth</w:t>
            </w:r>
          </w:p>
        </w:tc>
      </w:tr>
      <w:tr>
        <w:trPr>
          <w:cantSplit/>
        </w:trPr>
        <w:tc>
          <w:tcPr>
            <w:tcW w:type="dxa" w:w="19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5"/>
              </w:rPr>
              <w:t>Copernicus Sentinel-2</w:t>
            </w:r>
          </w:p>
        </w:tc>
        <w:tc>
          <w:tcPr>
            <w:tcW w:type="dxa" w:w="34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5"/>
              </w:rPr>
              <w:t>Multispectral crop/canopy time series</w:t>
            </w:r>
          </w:p>
        </w:tc>
        <w:tc>
          <w:tcPr>
            <w:tcW w:type="dxa" w:w="40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5"/>
              </w:rPr>
              <w:t>Cloud-sensitive; 10/20/60 m bands; field alignment required</w:t>
            </w:r>
          </w:p>
        </w:tc>
      </w:tr>
      <w:tr>
        <w:trPr>
          <w:cantSplit/>
        </w:trPr>
        <w:tc>
          <w:tcPr>
            <w:tcW w:type="dxa" w:w="19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5"/>
              </w:rPr>
              <w:t>Copernicus Sentinel-1</w:t>
            </w:r>
          </w:p>
        </w:tc>
        <w:tc>
          <w:tcPr>
            <w:tcW w:type="dxa" w:w="34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5"/>
              </w:rPr>
              <w:t>Radar observations useful through cloud</w:t>
            </w:r>
          </w:p>
        </w:tc>
        <w:tc>
          <w:tcPr>
            <w:tcW w:type="dxa" w:w="40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5"/>
              </w:rPr>
              <w:t>Requires careful preprocessing and crop/context calibration</w:t>
            </w:r>
          </w:p>
        </w:tc>
      </w:tr>
      <w:tr>
        <w:trPr>
          <w:cantSplit/>
        </w:trPr>
        <w:tc>
          <w:tcPr>
            <w:tcW w:type="dxa" w:w="19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5"/>
              </w:rPr>
              <w:t>NASA SMAP</w:t>
            </w:r>
          </w:p>
        </w:tc>
        <w:tc>
          <w:tcPr>
            <w:tcW w:type="dxa" w:w="34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5"/>
              </w:rPr>
              <w:t>Regional/global surface soil-moisture context</w:t>
            </w:r>
          </w:p>
        </w:tc>
        <w:tc>
          <w:tcPr>
            <w:tcW w:type="dxa" w:w="40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5"/>
              </w:rPr>
              <w:t>Not plot-scale ground truth</w:t>
            </w:r>
          </w:p>
        </w:tc>
      </w:tr>
      <w:tr>
        <w:trPr>
          <w:cantSplit/>
        </w:trPr>
        <w:tc>
          <w:tcPr>
            <w:tcW w:type="dxa" w:w="19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5"/>
              </w:rPr>
              <w:t>NASA POWER</w:t>
            </w:r>
          </w:p>
        </w:tc>
        <w:tc>
          <w:tcPr>
            <w:tcW w:type="dxa" w:w="34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5"/>
              </w:rPr>
              <w:t>Global meteorological and solar history/API</w:t>
            </w:r>
          </w:p>
        </w:tc>
        <w:tc>
          <w:tcPr>
            <w:tcW w:type="dxa" w:w="40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5"/>
              </w:rPr>
              <w:t>Coarse gridded context; use local station for field operations</w:t>
            </w:r>
          </w:p>
        </w:tc>
      </w:tr>
      <w:tr>
        <w:trPr>
          <w:cantSplit/>
        </w:trPr>
        <w:tc>
          <w:tcPr>
            <w:tcW w:type="dxa" w:w="19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5"/>
              </w:rPr>
              <w:t>ERA5-Land</w:t>
            </w:r>
          </w:p>
        </w:tc>
        <w:tc>
          <w:tcPr>
            <w:tcW w:type="dxa" w:w="34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5"/>
              </w:rPr>
              <w:t>Historical land/weather reanalysis</w:t>
            </w:r>
          </w:p>
        </w:tc>
        <w:tc>
          <w:tcPr>
            <w:tcW w:type="dxa" w:w="40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5"/>
              </w:rPr>
              <w:t>Training/context, not a real-time field sensor</w:t>
            </w:r>
          </w:p>
        </w:tc>
      </w:tr>
      <w:tr>
        <w:trPr>
          <w:cantSplit/>
        </w:trPr>
        <w:tc>
          <w:tcPr>
            <w:tcW w:type="dxa" w:w="19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5"/>
              </w:rPr>
              <w:t>ECMWF Open Data</w:t>
            </w:r>
          </w:p>
        </w:tc>
        <w:tc>
          <w:tcPr>
            <w:tcW w:type="dxa" w:w="34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5"/>
              </w:rPr>
              <w:t>Real-time deterministic/ensemble forecast inputs including the 100-hour horizon</w:t>
            </w:r>
          </w:p>
        </w:tc>
        <w:tc>
          <w:tcPr>
            <w:tcW w:type="dxa" w:w="40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5"/>
              </w:rPr>
              <w:t>Bias-correct locally; retain model/run/lead time</w:t>
            </w:r>
          </w:p>
        </w:tc>
      </w:tr>
      <w:tr>
        <w:trPr>
          <w:cantSplit/>
        </w:trPr>
        <w:tc>
          <w:tcPr>
            <w:tcW w:type="dxa" w:w="19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5"/>
              </w:rPr>
              <w:t>IMD Agromet</w:t>
            </w:r>
          </w:p>
        </w:tc>
        <w:tc>
          <w:tcPr>
            <w:tcW w:type="dxa" w:w="34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5"/>
              </w:rPr>
              <w:t>Indian district/block forecasts and advisories</w:t>
            </w:r>
          </w:p>
        </w:tc>
        <w:tc>
          <w:tcPr>
            <w:tcW w:type="dxa" w:w="40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5"/>
              </w:rPr>
              <w:t>Official operational context; preserve bulletin time/source</w:t>
            </w:r>
          </w:p>
        </w:tc>
      </w:tr>
      <w:tr>
        <w:trPr>
          <w:cantSplit/>
        </w:trPr>
        <w:tc>
          <w:tcPr>
            <w:tcW w:type="dxa" w:w="19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5"/>
              </w:rPr>
              <w:t>NRSC Bhuvan</w:t>
            </w:r>
          </w:p>
        </w:tc>
        <w:tc>
          <w:tcPr>
            <w:tcW w:type="dxa" w:w="34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5"/>
              </w:rPr>
              <w:t>Indian thematic, terrain and EO viewing/services</w:t>
            </w:r>
          </w:p>
        </w:tc>
        <w:tc>
          <w:tcPr>
            <w:tcW w:type="dxa" w:w="40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5"/>
              </w:rPr>
              <w:t>Terms/licensing must be checked; do not use restricted content for autonomous vehicle control</w:t>
            </w:r>
          </w:p>
        </w:tc>
      </w:tr>
      <w:tr>
        <w:trPr>
          <w:cantSplit/>
        </w:trPr>
        <w:tc>
          <w:tcPr>
            <w:tcW w:type="dxa" w:w="19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5"/>
              </w:rPr>
              <w:t>FAO AquaCrop</w:t>
            </w:r>
          </w:p>
        </w:tc>
        <w:tc>
          <w:tcPr>
            <w:tcW w:type="dxa" w:w="34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5"/>
              </w:rPr>
              <w:t>Crop-water productivity physics baseline</w:t>
            </w:r>
          </w:p>
        </w:tc>
        <w:tc>
          <w:tcPr>
            <w:tcW w:type="dxa" w:w="40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5"/>
              </w:rPr>
              <w:t>Calibrate by crop/site; benchmark hybrid yield/water models</w:t>
            </w:r>
          </w:p>
        </w:tc>
      </w:tr>
      <w:tr>
        <w:trPr>
          <w:cantSplit/>
        </w:trPr>
        <w:tc>
          <w:tcPr>
            <w:tcW w:type="dxa" w:w="19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5"/>
              </w:rPr>
              <w:t>CropHarvest</w:t>
            </w:r>
          </w:p>
        </w:tc>
        <w:tc>
          <w:tcPr>
            <w:tcW w:type="dxa" w:w="34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5"/>
              </w:rPr>
              <w:t>Open remote-sensing crop classification benchmark</w:t>
            </w:r>
          </w:p>
        </w:tc>
        <w:tc>
          <w:tcPr>
            <w:tcW w:type="dxa" w:w="40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5"/>
              </w:rPr>
              <w:t>Geographic domain shift; verify included dataset licences</w:t>
            </w:r>
          </w:p>
        </w:tc>
      </w:tr>
      <w:tr>
        <w:trPr>
          <w:cantSplit/>
        </w:trPr>
        <w:tc>
          <w:tcPr>
            <w:tcW w:type="dxa" w:w="19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5"/>
              </w:rPr>
              <w:t>Agriculture-Vision</w:t>
            </w:r>
          </w:p>
        </w:tc>
        <w:tc>
          <w:tcPr>
            <w:tcW w:type="dxa" w:w="34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5"/>
              </w:rPr>
              <w:t>Aerial RGB/NIR field-anomaly segmentation</w:t>
            </w:r>
          </w:p>
        </w:tc>
        <w:tc>
          <w:tcPr>
            <w:tcW w:type="dxa" w:w="40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5"/>
              </w:rPr>
              <w:t>US fields; useful pretraining/benchmark, not local deployment truth</w:t>
            </w:r>
          </w:p>
        </w:tc>
      </w:tr>
      <w:tr>
        <w:trPr>
          <w:cantSplit/>
        </w:trPr>
        <w:tc>
          <w:tcPr>
            <w:tcW w:type="dxa" w:w="19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5"/>
              </w:rPr>
              <w:t>PlantVillage</w:t>
            </w:r>
          </w:p>
        </w:tc>
        <w:tc>
          <w:tcPr>
            <w:tcW w:type="dxa" w:w="34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5"/>
              </w:rPr>
              <w:t>Healthy/diseased leaf image pretraining</w:t>
            </w:r>
          </w:p>
        </w:tc>
        <w:tc>
          <w:tcPr>
            <w:tcW w:type="dxa" w:w="40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5"/>
              </w:rPr>
              <w:t>Controlled backgrounds; field validation mandatory</w:t>
            </w:r>
          </w:p>
        </w:tc>
      </w:tr>
      <w:tr>
        <w:trPr>
          <w:cantSplit/>
        </w:trPr>
        <w:tc>
          <w:tcPr>
            <w:tcW w:type="dxa" w:w="19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5"/>
              </w:rPr>
              <w:t>Global Wheat</w:t>
            </w:r>
          </w:p>
        </w:tc>
        <w:tc>
          <w:tcPr>
            <w:tcW w:type="dxa" w:w="34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5"/>
              </w:rPr>
              <w:t>Wheat-head detection/segmentation and yield proxies</w:t>
            </w:r>
          </w:p>
        </w:tc>
        <w:tc>
          <w:tcPr>
            <w:tcW w:type="dxa" w:w="40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5"/>
              </w:rPr>
              <w:t>Crop-specific benchmark; use site-separated validation</w:t>
            </w:r>
          </w:p>
        </w:tc>
      </w:tr>
    </w:tbl>
    <w:p>
      <w:pPr>
        <w:keepNext w:val="0"/>
        <w:spacing w:before="0" w:after="40" w:line="300" w:lineRule="auto"/>
        <w:jc w:val="left"/>
      </w:pPr>
      <w:r>
        <w:rPr>
          <w:rFonts w:ascii="Calibri" w:hAnsi="Calibri" w:eastAsia="Calibri"/>
          <w:b w:val="0"/>
          <w:i w:val="0"/>
          <w:color w:val="111827"/>
          <w:sz w:val="22"/>
        </w:rPr>
      </w:r>
    </w:p>
    <w:p>
      <w:pPr>
        <w:pStyle w:val="Heading2"/>
      </w:pPr>
      <w:r>
        <w:t>12.2 Data-resolution doctrine</w:t>
      </w:r>
    </w:p>
    <w:p>
      <w:pPr>
        <w:numPr>
          <w:ilvl w:val="0"/>
          <w:numId w:val="10"/>
        </w:numPr>
        <w:spacing w:after="80" w:line="300" w:lineRule="auto"/>
      </w:pPr>
      <w:r>
        <w:rPr>
          <w:rFonts w:ascii="Calibri" w:hAnsi="Calibri" w:eastAsia="Calibri"/>
          <w:color w:val="111827"/>
          <w:sz w:val="22"/>
        </w:rPr>
        <w:t>Satellite and global soil products provide context and priors; they do not manufacture centimetre-scale truth.</w:t>
      </w:r>
    </w:p>
    <w:p>
      <w:pPr>
        <w:numPr>
          <w:ilvl w:val="0"/>
          <w:numId w:val="10"/>
        </w:numPr>
        <w:spacing w:after="80" w:line="300" w:lineRule="auto"/>
      </w:pPr>
      <w:r>
        <w:rPr>
          <w:rFonts w:ascii="Calibri" w:hAnsi="Calibri" w:eastAsia="Calibri"/>
          <w:color w:val="111827"/>
          <w:sz w:val="22"/>
        </w:rPr>
        <w:t>Local soil samples and calibrated probes anchor the twin; remote sensing helps interpolate and detect change.</w:t>
      </w:r>
    </w:p>
    <w:p>
      <w:pPr>
        <w:numPr>
          <w:ilvl w:val="0"/>
          <w:numId w:val="10"/>
        </w:numPr>
        <w:spacing w:after="80" w:line="300" w:lineRule="auto"/>
      </w:pPr>
      <w:r>
        <w:rPr>
          <w:rFonts w:ascii="Calibri" w:hAnsi="Calibri" w:eastAsia="Calibri"/>
          <w:color w:val="111827"/>
          <w:sz w:val="22"/>
        </w:rPr>
        <w:t>All raster products must be stored with acquisition time, resolution, processing level, cloud/quality mask and licence.</w:t>
      </w:r>
    </w:p>
    <w:p>
      <w:pPr>
        <w:numPr>
          <w:ilvl w:val="0"/>
          <w:numId w:val="10"/>
        </w:numPr>
        <w:spacing w:after="80" w:line="300" w:lineRule="auto"/>
      </w:pPr>
      <w:r>
        <w:rPr>
          <w:rFonts w:ascii="Calibri" w:hAnsi="Calibri" w:eastAsia="Calibri"/>
          <w:color w:val="111827"/>
          <w:sz w:val="22"/>
        </w:rPr>
        <w:t>Weather reanalysis trains historical models; real-time forecasts drive the 100-hour window; the local station verifies microclimate.</w:t>
      </w:r>
    </w:p>
    <w:p>
      <w:pPr>
        <w:pStyle w:val="Heading2"/>
      </w:pPr>
      <w:r>
        <w:t>12.3 Standards</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cantSplit/>
        </w:trPr>
        <w:tc>
          <w:tcPr>
            <w:tcW w:type="dxa" w:w="2600"/>
            <w:shd w:fill="E8EEF5"/>
            <w:vAlign w:val="center"/>
            <w:tcMar>
              <w:top w:w="80" w:type="dxa"/>
              <w:start w:w="120" w:type="dxa"/>
              <w:bottom w:w="80" w:type="dxa"/>
              <w:end w:w="120" w:type="dxa"/>
            </w:tcMar>
          </w:tcPr>
          <w:p>
            <w:pPr>
              <w:spacing w:after="0" w:line="252" w:lineRule="auto"/>
              <w:jc w:val="center"/>
            </w:pPr>
            <w:r>
              <w:rPr>
                <w:rFonts w:ascii="Calibri" w:hAnsi="Calibri" w:eastAsia="Calibri"/>
                <w:b/>
                <w:color w:val="0B2545"/>
                <w:sz w:val="18"/>
              </w:rPr>
              <w:t>Standard / pattern</w:t>
            </w:r>
          </w:p>
        </w:tc>
        <w:tc>
          <w:tcPr>
            <w:tcW w:type="dxa" w:w="6760"/>
            <w:shd w:fill="E8EEF5"/>
            <w:vAlign w:val="center"/>
            <w:tcMar>
              <w:top w:w="80" w:type="dxa"/>
              <w:start w:w="120" w:type="dxa"/>
              <w:bottom w:w="80" w:type="dxa"/>
              <w:end w:w="120" w:type="dxa"/>
            </w:tcMar>
          </w:tcPr>
          <w:p>
            <w:pPr>
              <w:spacing w:after="0" w:line="252" w:lineRule="auto"/>
              <w:jc w:val="center"/>
            </w:pPr>
            <w:r>
              <w:rPr>
                <w:rFonts w:ascii="Calibri" w:hAnsi="Calibri" w:eastAsia="Calibri"/>
                <w:b/>
                <w:color w:val="0B2545"/>
                <w:sz w:val="18"/>
              </w:rPr>
              <w:t>Apollo use</w:t>
            </w:r>
          </w:p>
        </w:tc>
      </w:tr>
      <w:tr>
        <w:trPr>
          <w:cantSplit/>
        </w:trPr>
        <w:tc>
          <w:tcPr>
            <w:tcW w:type="dxa" w:w="2600"/>
            <w:vAlign w:val="center"/>
            <w:tcMar>
              <w:top w:w="80" w:type="dxa"/>
              <w:start w:w="120" w:type="dxa"/>
              <w:bottom w:w="80" w:type="dxa"/>
              <w:end w:w="120" w:type="dxa"/>
            </w:tcMar>
          </w:tcPr>
          <w:p>
            <w:pPr>
              <w:spacing w:after="0" w:line="259" w:lineRule="auto"/>
              <w:jc w:val="left"/>
            </w:pPr>
            <w:r>
              <w:rPr>
                <w:rFonts w:ascii="Calibri" w:hAnsi="Calibri" w:eastAsia="Calibri"/>
                <w:b/>
                <w:color w:val="111827"/>
                <w:sz w:val="18"/>
              </w:rPr>
              <w:t>OGC SensorThings API</w:t>
            </w:r>
          </w:p>
        </w:tc>
        <w:tc>
          <w:tcPr>
            <w:tcW w:type="dxa" w:w="67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8"/>
              </w:rPr>
              <w:t>Open geospatial model for heterogeneous Things, Sensors, ObservedProperties and Observations</w:t>
            </w:r>
          </w:p>
        </w:tc>
      </w:tr>
      <w:tr>
        <w:trPr>
          <w:cantSplit/>
        </w:trPr>
        <w:tc>
          <w:tcPr>
            <w:tcW w:type="dxa" w:w="2600"/>
            <w:vAlign w:val="center"/>
            <w:tcMar>
              <w:top w:w="80" w:type="dxa"/>
              <w:start w:w="120" w:type="dxa"/>
              <w:bottom w:w="80" w:type="dxa"/>
              <w:end w:w="120" w:type="dxa"/>
            </w:tcMar>
          </w:tcPr>
          <w:p>
            <w:pPr>
              <w:spacing w:after="0" w:line="259" w:lineRule="auto"/>
              <w:jc w:val="left"/>
            </w:pPr>
            <w:r>
              <w:rPr>
                <w:rFonts w:ascii="Calibri" w:hAnsi="Calibri" w:eastAsia="Calibri"/>
                <w:b/>
                <w:color w:val="111827"/>
                <w:sz w:val="18"/>
              </w:rPr>
              <w:t>GeoJSON / PostGIS</w:t>
            </w:r>
          </w:p>
        </w:tc>
        <w:tc>
          <w:tcPr>
            <w:tcW w:type="dxa" w:w="67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8"/>
              </w:rPr>
              <w:t>Farm/field/plot/zone geometries and spatial queries</w:t>
            </w:r>
          </w:p>
        </w:tc>
      </w:tr>
      <w:tr>
        <w:trPr>
          <w:cantSplit/>
        </w:trPr>
        <w:tc>
          <w:tcPr>
            <w:tcW w:type="dxa" w:w="2600"/>
            <w:vAlign w:val="center"/>
            <w:tcMar>
              <w:top w:w="80" w:type="dxa"/>
              <w:start w:w="120" w:type="dxa"/>
              <w:bottom w:w="80" w:type="dxa"/>
              <w:end w:w="120" w:type="dxa"/>
            </w:tcMar>
          </w:tcPr>
          <w:p>
            <w:pPr>
              <w:spacing w:after="0" w:line="259" w:lineRule="auto"/>
              <w:jc w:val="left"/>
            </w:pPr>
            <w:r>
              <w:rPr>
                <w:rFonts w:ascii="Calibri" w:hAnsi="Calibri" w:eastAsia="Calibri"/>
                <w:b/>
                <w:color w:val="111827"/>
                <w:sz w:val="18"/>
              </w:rPr>
              <w:t>MQTT</w:t>
            </w:r>
          </w:p>
        </w:tc>
        <w:tc>
          <w:tcPr>
            <w:tcW w:type="dxa" w:w="67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8"/>
              </w:rPr>
              <w:t>Low-bandwidth sensor/event transport with persistent IDs and local buffering</w:t>
            </w:r>
          </w:p>
        </w:tc>
      </w:tr>
      <w:tr>
        <w:trPr>
          <w:cantSplit/>
        </w:trPr>
        <w:tc>
          <w:tcPr>
            <w:tcW w:type="dxa" w:w="2600"/>
            <w:vAlign w:val="center"/>
            <w:tcMar>
              <w:top w:w="80" w:type="dxa"/>
              <w:start w:w="120" w:type="dxa"/>
              <w:bottom w:w="80" w:type="dxa"/>
              <w:end w:w="120" w:type="dxa"/>
            </w:tcMar>
          </w:tcPr>
          <w:p>
            <w:pPr>
              <w:spacing w:after="0" w:line="259" w:lineRule="auto"/>
              <w:jc w:val="left"/>
            </w:pPr>
            <w:r>
              <w:rPr>
                <w:rFonts w:ascii="Calibri" w:hAnsi="Calibri" w:eastAsia="Calibri"/>
                <w:b/>
                <w:color w:val="111827"/>
                <w:sz w:val="18"/>
              </w:rPr>
              <w:t>REST/OpenAPI</w:t>
            </w:r>
          </w:p>
        </w:tc>
        <w:tc>
          <w:tcPr>
            <w:tcW w:type="dxa" w:w="67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8"/>
              </w:rPr>
              <w:t>Module-facing digital-twin, prediction, task and report services</w:t>
            </w:r>
          </w:p>
        </w:tc>
      </w:tr>
      <w:tr>
        <w:trPr>
          <w:cantSplit/>
        </w:trPr>
        <w:tc>
          <w:tcPr>
            <w:tcW w:type="dxa" w:w="2600"/>
            <w:vAlign w:val="center"/>
            <w:tcMar>
              <w:top w:w="80" w:type="dxa"/>
              <w:start w:w="120" w:type="dxa"/>
              <w:bottom w:w="80" w:type="dxa"/>
              <w:end w:w="120" w:type="dxa"/>
            </w:tcMar>
          </w:tcPr>
          <w:p>
            <w:pPr>
              <w:spacing w:after="0" w:line="259" w:lineRule="auto"/>
              <w:jc w:val="left"/>
            </w:pPr>
            <w:r>
              <w:rPr>
                <w:rFonts w:ascii="Calibri" w:hAnsi="Calibri" w:eastAsia="Calibri"/>
                <w:b/>
                <w:color w:val="111827"/>
                <w:sz w:val="18"/>
              </w:rPr>
              <w:t>ROS2 + Apollo interfaces</w:t>
            </w:r>
          </w:p>
        </w:tc>
        <w:tc>
          <w:tcPr>
            <w:tcW w:type="dxa" w:w="67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8"/>
              </w:rPr>
              <w:t>Robot-time mission request, feedback and result exchange through the optional adapter</w:t>
            </w:r>
          </w:p>
        </w:tc>
      </w:tr>
    </w:tbl>
    <w:p>
      <w:pPr>
        <w:keepNext w:val="0"/>
        <w:spacing w:before="0" w:after="40" w:line="300" w:lineRule="auto"/>
        <w:jc w:val="left"/>
      </w:pPr>
      <w:r>
        <w:rPr>
          <w:rFonts w:ascii="Calibri" w:hAnsi="Calibri" w:eastAsia="Calibri"/>
          <w:b w:val="0"/>
          <w:i w:val="0"/>
          <w:color w:val="111827"/>
          <w:sz w:val="22"/>
        </w:rPr>
      </w:r>
    </w:p>
    <w:p>
      <w:pPr>
        <w:pStyle w:val="Heading1"/>
      </w:pPr>
      <w:r>
        <w:t>13. Software architecture, repository and MLOps blueprint</w:t>
      </w:r>
    </w:p>
    <w:p>
      <w:pPr>
        <w:pStyle w:val="Heading2"/>
      </w:pPr>
      <w:r>
        <w:t>13.1 Recommended low-cost stack</w:t>
      </w:r>
    </w:p>
    <w:tbl>
      <w:tblPr>
        <w:tblStyle w:val="TableGrid"/>
        <w:tblW w:type="dxa" w:w="9360"/>
        <w:jc w:val="left"/>
        <w:tblLayout w:type="fixed"/>
        <w:tblLook w:firstColumn="1" w:firstRow="1" w:lastColumn="0" w:lastRow="0" w:noHBand="0" w:noVBand="1" w:val="04A0"/>
        <w:tblInd w:w="120" w:type="dxa"/>
      </w:tblPr>
      <w:tblGrid>
        <w:gridCol w:w="1600"/>
        <w:gridCol w:w="4200"/>
        <w:gridCol w:w="3560"/>
      </w:tblGrid>
      <w:tr>
        <w:trPr>
          <w:tblHeader w:val="true"/>
          <w:cantSplit/>
        </w:trPr>
        <w:tc>
          <w:tcPr>
            <w:tcW w:type="dxa" w:w="1600"/>
            <w:shd w:fill="E8EEF5"/>
            <w:vAlign w:val="center"/>
            <w:tcMar>
              <w:top w:w="80" w:type="dxa"/>
              <w:start w:w="120" w:type="dxa"/>
              <w:bottom w:w="80" w:type="dxa"/>
              <w:end w:w="120" w:type="dxa"/>
            </w:tcMar>
          </w:tcPr>
          <w:p>
            <w:pPr>
              <w:spacing w:after="0" w:line="252" w:lineRule="auto"/>
              <w:jc w:val="center"/>
            </w:pPr>
            <w:r>
              <w:rPr>
                <w:rFonts w:ascii="Calibri" w:hAnsi="Calibri" w:eastAsia="Calibri"/>
                <w:b/>
                <w:color w:val="0B2545"/>
                <w:sz w:val="16"/>
              </w:rPr>
              <w:t>Layer</w:t>
            </w:r>
          </w:p>
        </w:tc>
        <w:tc>
          <w:tcPr>
            <w:tcW w:type="dxa" w:w="4200"/>
            <w:shd w:fill="E8EEF5"/>
            <w:vAlign w:val="center"/>
            <w:tcMar>
              <w:top w:w="80" w:type="dxa"/>
              <w:start w:w="120" w:type="dxa"/>
              <w:bottom w:w="80" w:type="dxa"/>
              <w:end w:w="120" w:type="dxa"/>
            </w:tcMar>
          </w:tcPr>
          <w:p>
            <w:pPr>
              <w:spacing w:after="0" w:line="252" w:lineRule="auto"/>
              <w:jc w:val="left"/>
            </w:pPr>
            <w:r>
              <w:rPr>
                <w:rFonts w:ascii="Calibri" w:hAnsi="Calibri" w:eastAsia="Calibri"/>
                <w:b/>
                <w:color w:val="0B2545"/>
                <w:sz w:val="16"/>
              </w:rPr>
              <w:t>Recommended starting stack</w:t>
            </w:r>
          </w:p>
        </w:tc>
        <w:tc>
          <w:tcPr>
            <w:tcW w:type="dxa" w:w="3560"/>
            <w:shd w:fill="E8EEF5"/>
            <w:vAlign w:val="center"/>
            <w:tcMar>
              <w:top w:w="80" w:type="dxa"/>
              <w:start w:w="120" w:type="dxa"/>
              <w:bottom w:w="80" w:type="dxa"/>
              <w:end w:w="120" w:type="dxa"/>
            </w:tcMar>
          </w:tcPr>
          <w:p>
            <w:pPr>
              <w:spacing w:after="0" w:line="252" w:lineRule="auto"/>
              <w:jc w:val="center"/>
            </w:pPr>
            <w:r>
              <w:rPr>
                <w:rFonts w:ascii="Calibri" w:hAnsi="Calibri" w:eastAsia="Calibri"/>
                <w:b/>
                <w:color w:val="0B2545"/>
                <w:sz w:val="16"/>
              </w:rPr>
              <w:t>Reason</w:t>
            </w:r>
          </w:p>
        </w:tc>
      </w:tr>
      <w:tr>
        <w:trPr>
          <w:cantSplit/>
        </w:trPr>
        <w:tc>
          <w:tcPr>
            <w:tcW w:type="dxa" w:w="16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Field/IoT</w:t>
            </w:r>
          </w:p>
        </w:tc>
        <w:tc>
          <w:tcPr>
            <w:tcW w:type="dxa" w:w="42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ESP32-class nodes; MQTT; local gateway buffer</w:t>
            </w:r>
          </w:p>
        </w:tc>
        <w:tc>
          <w:tcPr>
            <w:tcW w:type="dxa" w:w="35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Low cost, replaceable sensors and offline tolerance</w:t>
            </w:r>
          </w:p>
        </w:tc>
      </w:tr>
      <w:tr>
        <w:trPr>
          <w:cantSplit/>
        </w:trPr>
        <w:tc>
          <w:tcPr>
            <w:tcW w:type="dxa" w:w="16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Backend</w:t>
            </w:r>
          </w:p>
        </w:tc>
        <w:tc>
          <w:tcPr>
            <w:tcW w:type="dxa" w:w="42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Python, FastAPI, Pydantic and background workers</w:t>
            </w:r>
          </w:p>
        </w:tc>
        <w:tc>
          <w:tcPr>
            <w:tcW w:type="dxa" w:w="35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Same language as ML; explicit versioned schemas</w:t>
            </w:r>
          </w:p>
        </w:tc>
      </w:tr>
      <w:tr>
        <w:trPr>
          <w:cantSplit/>
        </w:trPr>
        <w:tc>
          <w:tcPr>
            <w:tcW w:type="dxa" w:w="16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Data</w:t>
            </w:r>
          </w:p>
        </w:tc>
        <w:tc>
          <w:tcPr>
            <w:tcW w:type="dxa" w:w="42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PostgreSQL + PostGIS; object storage for imagery/models</w:t>
            </w:r>
          </w:p>
        </w:tc>
        <w:tc>
          <w:tcPr>
            <w:tcW w:type="dxa" w:w="35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Relational integrity, spatial queries and portable storage</w:t>
            </w:r>
          </w:p>
        </w:tc>
      </w:tr>
      <w:tr>
        <w:trPr>
          <w:cantSplit/>
        </w:trPr>
        <w:tc>
          <w:tcPr>
            <w:tcW w:type="dxa" w:w="16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Time series</w:t>
            </w:r>
          </w:p>
        </w:tc>
        <w:tc>
          <w:tcPr>
            <w:tcW w:type="dxa" w:w="42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PostgreSQL time-series pattern or compatible extension</w:t>
            </w:r>
          </w:p>
        </w:tc>
        <w:tc>
          <w:tcPr>
            <w:tcW w:type="dxa" w:w="35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Keep observations queryable without locking the model to a vendor</w:t>
            </w:r>
          </w:p>
        </w:tc>
      </w:tr>
      <w:tr>
        <w:trPr>
          <w:cantSplit/>
        </w:trPr>
        <w:tc>
          <w:tcPr>
            <w:tcW w:type="dxa" w:w="16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ML/CV</w:t>
            </w:r>
          </w:p>
        </w:tc>
        <w:tc>
          <w:tcPr>
            <w:tcW w:type="dxa" w:w="42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scikit-learn, PyTorch, OpenCV and crop/physics packages</w:t>
            </w:r>
          </w:p>
        </w:tc>
        <w:tc>
          <w:tcPr>
            <w:tcW w:type="dxa" w:w="35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Strong free ecosystem and Colab compatibility</w:t>
            </w:r>
          </w:p>
        </w:tc>
      </w:tr>
      <w:tr>
        <w:trPr>
          <w:cantSplit/>
        </w:trPr>
        <w:tc>
          <w:tcPr>
            <w:tcW w:type="dxa" w:w="16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MLOps</w:t>
            </w:r>
          </w:p>
        </w:tc>
        <w:tc>
          <w:tcPr>
            <w:tcW w:type="dxa" w:w="42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DVC/data manifests, MLflow-compatible tracking, model/data cards</w:t>
            </w:r>
          </w:p>
        </w:tc>
        <w:tc>
          <w:tcPr>
            <w:tcW w:type="dxa" w:w="35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Reproducibility and evidence traceability</w:t>
            </w:r>
          </w:p>
        </w:tc>
      </w:tr>
      <w:tr>
        <w:trPr>
          <w:cantSplit/>
        </w:trPr>
        <w:tc>
          <w:tcPr>
            <w:tcW w:type="dxa" w:w="16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Annotation</w:t>
            </w:r>
          </w:p>
        </w:tc>
        <w:tc>
          <w:tcPr>
            <w:tcW w:type="dxa" w:w="42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CVAT/Label Studio/QGIS</w:t>
            </w:r>
          </w:p>
        </w:tc>
        <w:tc>
          <w:tcPr>
            <w:tcW w:type="dxa" w:w="35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Vision, time-series review and geospatial labelling</w:t>
            </w:r>
          </w:p>
        </w:tc>
      </w:tr>
      <w:tr>
        <w:trPr>
          <w:cantSplit/>
        </w:trPr>
        <w:tc>
          <w:tcPr>
            <w:tcW w:type="dxa" w:w="16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Dashboard</w:t>
            </w:r>
          </w:p>
        </w:tc>
        <w:tc>
          <w:tcPr>
            <w:tcW w:type="dxa" w:w="42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React/Next.js or staged Streamlit prototype; Plotly/Grafana</w:t>
            </w:r>
          </w:p>
        </w:tc>
        <w:tc>
          <w:tcPr>
            <w:tcW w:type="dxa" w:w="35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Map, timeline, alert and operational views</w:t>
            </w:r>
          </w:p>
        </w:tc>
      </w:tr>
      <w:tr>
        <w:trPr>
          <w:cantSplit/>
        </w:trPr>
        <w:tc>
          <w:tcPr>
            <w:tcW w:type="dxa" w:w="16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Packaging</w:t>
            </w:r>
          </w:p>
        </w:tc>
        <w:tc>
          <w:tcPr>
            <w:tcW w:type="dxa" w:w="42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Docker, CI, typed tests and environment lock files</w:t>
            </w:r>
          </w:p>
        </w:tc>
        <w:tc>
          <w:tcPr>
            <w:tcW w:type="dxa" w:w="35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Same behaviour across four members and field gateway</w:t>
            </w:r>
          </w:p>
        </w:tc>
      </w:tr>
    </w:tbl>
    <w:p>
      <w:pPr>
        <w:keepNext w:val="0"/>
        <w:spacing w:before="0" w:after="40" w:line="300" w:lineRule="auto"/>
        <w:jc w:val="left"/>
      </w:pPr>
      <w:r>
        <w:rPr>
          <w:rFonts w:ascii="Calibri" w:hAnsi="Calibri" w:eastAsia="Calibri"/>
          <w:b w:val="0"/>
          <w:i w:val="0"/>
          <w:color w:val="111827"/>
          <w:sz w:val="22"/>
        </w:rPr>
      </w:r>
    </w:p>
    <w:p>
      <w:pPr>
        <w:pStyle w:val="Heading2"/>
      </w:pPr>
      <w:r>
        <w:t>13.2 Repository structure</w:t>
      </w:r>
    </w:p>
    <w:tbl>
      <w:tblPr>
        <w:tblStyle w:val="TableGrid"/>
        <w:tblW w:type="dxa" w:w="9360"/>
        <w:jc w:val="left"/>
        <w:tblLayout w:type="fixed"/>
        <w:tblLook w:firstColumn="1" w:firstRow="1" w:lastColumn="0" w:lastRow="0" w:noHBand="0" w:noVBand="1" w:val="04A0"/>
        <w:tblInd w:w="120" w:type="dxa"/>
      </w:tblPr>
      <w:tblGrid>
        <w:gridCol w:w="2950"/>
        <w:gridCol w:w="6410"/>
      </w:tblGrid>
      <w:tr>
        <w:trPr>
          <w:tblHeader w:val="true"/>
          <w:cantSplit/>
        </w:trPr>
        <w:tc>
          <w:tcPr>
            <w:tcW w:type="dxa" w:w="2950"/>
            <w:shd w:fill="E8EEF5"/>
            <w:vAlign w:val="center"/>
            <w:tcMar>
              <w:top w:w="80" w:type="dxa"/>
              <w:start w:w="120" w:type="dxa"/>
              <w:bottom w:w="80" w:type="dxa"/>
              <w:end w:w="120" w:type="dxa"/>
            </w:tcMar>
          </w:tcPr>
          <w:p>
            <w:pPr>
              <w:spacing w:after="0" w:line="252" w:lineRule="auto"/>
              <w:jc w:val="center"/>
            </w:pPr>
            <w:r>
              <w:rPr>
                <w:rFonts w:ascii="Calibri" w:hAnsi="Calibri" w:eastAsia="Calibri"/>
                <w:b/>
                <w:color w:val="0B2545"/>
                <w:sz w:val="17"/>
              </w:rPr>
              <w:t>Path</w:t>
            </w:r>
          </w:p>
        </w:tc>
        <w:tc>
          <w:tcPr>
            <w:tcW w:type="dxa" w:w="6410"/>
            <w:shd w:fill="E8EEF5"/>
            <w:vAlign w:val="center"/>
            <w:tcMar>
              <w:top w:w="80" w:type="dxa"/>
              <w:start w:w="120" w:type="dxa"/>
              <w:bottom w:w="80" w:type="dxa"/>
              <w:end w:w="120" w:type="dxa"/>
            </w:tcMar>
          </w:tcPr>
          <w:p>
            <w:pPr>
              <w:spacing w:after="0" w:line="252" w:lineRule="auto"/>
              <w:jc w:val="center"/>
            </w:pPr>
            <w:r>
              <w:rPr>
                <w:rFonts w:ascii="Calibri" w:hAnsi="Calibri" w:eastAsia="Calibri"/>
                <w:b/>
                <w:color w:val="0B2545"/>
                <w:sz w:val="17"/>
              </w:rPr>
              <w:t>Responsibility</w:t>
            </w:r>
          </w:p>
        </w:tc>
      </w:tr>
      <w:tr>
        <w:trPr>
          <w:cantSplit/>
        </w:trPr>
        <w:tc>
          <w:tcPr>
            <w:tcW w:type="dxa" w:w="2950"/>
            <w:vAlign w:val="center"/>
            <w:tcMar>
              <w:top w:w="80" w:type="dxa"/>
              <w:start w:w="120" w:type="dxa"/>
              <w:bottom w:w="80" w:type="dxa"/>
              <w:end w:w="120" w:type="dxa"/>
            </w:tcMar>
          </w:tcPr>
          <w:p>
            <w:pPr>
              <w:spacing w:after="0" w:line="259" w:lineRule="auto"/>
              <w:jc w:val="left"/>
            </w:pPr>
            <w:r>
              <w:rPr>
                <w:rFonts w:ascii="Calibri" w:hAnsi="Calibri" w:eastAsia="Calibri"/>
                <w:b/>
                <w:color w:val="111827"/>
                <w:sz w:val="17"/>
              </w:rPr>
              <w:t>apps/dashboard</w:t>
            </w:r>
          </w:p>
        </w:tc>
        <w:tc>
          <w:tcPr>
            <w:tcW w:type="dxa" w:w="641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Farm command, Soil360, Crop 360, treatment and task views</w:t>
            </w:r>
          </w:p>
        </w:tc>
      </w:tr>
      <w:tr>
        <w:trPr>
          <w:cantSplit/>
        </w:trPr>
        <w:tc>
          <w:tcPr>
            <w:tcW w:type="dxa" w:w="2950"/>
            <w:vAlign w:val="center"/>
            <w:tcMar>
              <w:top w:w="80" w:type="dxa"/>
              <w:start w:w="120" w:type="dxa"/>
              <w:bottom w:w="80" w:type="dxa"/>
              <w:end w:w="120" w:type="dxa"/>
            </w:tcMar>
          </w:tcPr>
          <w:p>
            <w:pPr>
              <w:spacing w:after="0" w:line="259" w:lineRule="auto"/>
              <w:jc w:val="left"/>
            </w:pPr>
            <w:r>
              <w:rPr>
                <w:rFonts w:ascii="Calibri" w:hAnsi="Calibri" w:eastAsia="Calibri"/>
                <w:b/>
                <w:color w:val="111827"/>
                <w:sz w:val="17"/>
              </w:rPr>
              <w:t>services/api</w:t>
            </w:r>
          </w:p>
        </w:tc>
        <w:tc>
          <w:tcPr>
            <w:tcW w:type="dxa" w:w="641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Versioned REST/OpenAPI endpoints, auth and orchestration</w:t>
            </w:r>
          </w:p>
        </w:tc>
      </w:tr>
      <w:tr>
        <w:trPr>
          <w:cantSplit/>
        </w:trPr>
        <w:tc>
          <w:tcPr>
            <w:tcW w:type="dxa" w:w="2950"/>
            <w:vAlign w:val="center"/>
            <w:tcMar>
              <w:top w:w="80" w:type="dxa"/>
              <w:start w:w="120" w:type="dxa"/>
              <w:bottom w:w="80" w:type="dxa"/>
              <w:end w:w="120" w:type="dxa"/>
            </w:tcMar>
          </w:tcPr>
          <w:p>
            <w:pPr>
              <w:spacing w:after="0" w:line="259" w:lineRule="auto"/>
              <w:jc w:val="left"/>
            </w:pPr>
            <w:r>
              <w:rPr>
                <w:rFonts w:ascii="Calibri" w:hAnsi="Calibri" w:eastAsia="Calibri"/>
                <w:b/>
                <w:color w:val="111827"/>
                <w:sz w:val="17"/>
              </w:rPr>
              <w:t>packages/domain</w:t>
            </w:r>
          </w:p>
        </w:tc>
        <w:tc>
          <w:tcPr>
            <w:tcW w:type="dxa" w:w="641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IDs, units, events, entities and validation rules</w:t>
            </w:r>
          </w:p>
        </w:tc>
      </w:tr>
      <w:tr>
        <w:trPr>
          <w:cantSplit/>
        </w:trPr>
        <w:tc>
          <w:tcPr>
            <w:tcW w:type="dxa" w:w="2950"/>
            <w:vAlign w:val="center"/>
            <w:tcMar>
              <w:top w:w="80" w:type="dxa"/>
              <w:start w:w="120" w:type="dxa"/>
              <w:bottom w:w="80" w:type="dxa"/>
              <w:end w:w="120" w:type="dxa"/>
            </w:tcMar>
          </w:tcPr>
          <w:p>
            <w:pPr>
              <w:spacing w:after="0" w:line="259" w:lineRule="auto"/>
              <w:jc w:val="left"/>
            </w:pPr>
            <w:r>
              <w:rPr>
                <w:rFonts w:ascii="Calibri" w:hAnsi="Calibri" w:eastAsia="Calibri"/>
                <w:b/>
                <w:color w:val="111827"/>
                <w:sz w:val="17"/>
              </w:rPr>
              <w:t>packages/twin</w:t>
            </w:r>
          </w:p>
        </w:tc>
        <w:tc>
          <w:tcPr>
            <w:tcW w:type="dxa" w:w="641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State estimator, event replay and farm/field/plot/plant aggregation</w:t>
            </w:r>
          </w:p>
        </w:tc>
      </w:tr>
      <w:tr>
        <w:trPr>
          <w:cantSplit/>
        </w:trPr>
        <w:tc>
          <w:tcPr>
            <w:tcW w:type="dxa" w:w="2950"/>
            <w:vAlign w:val="center"/>
            <w:tcMar>
              <w:top w:w="80" w:type="dxa"/>
              <w:start w:w="120" w:type="dxa"/>
              <w:bottom w:w="80" w:type="dxa"/>
              <w:end w:w="120" w:type="dxa"/>
            </w:tcMar>
          </w:tcPr>
          <w:p>
            <w:pPr>
              <w:spacing w:after="0" w:line="259" w:lineRule="auto"/>
              <w:jc w:val="left"/>
            </w:pPr>
            <w:r>
              <w:rPr>
                <w:rFonts w:ascii="Calibri" w:hAnsi="Calibri" w:eastAsia="Calibri"/>
                <w:b/>
                <w:color w:val="111827"/>
                <w:sz w:val="17"/>
              </w:rPr>
              <w:t>packages/forecast</w:t>
            </w:r>
          </w:p>
        </w:tc>
        <w:tc>
          <w:tcPr>
            <w:tcW w:type="dxa" w:w="641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Weather, soil-water, stress, yield and alert packages</w:t>
            </w:r>
          </w:p>
        </w:tc>
      </w:tr>
      <w:tr>
        <w:trPr>
          <w:cantSplit/>
        </w:trPr>
        <w:tc>
          <w:tcPr>
            <w:tcW w:type="dxa" w:w="2950"/>
            <w:vAlign w:val="center"/>
            <w:tcMar>
              <w:top w:w="80" w:type="dxa"/>
              <w:start w:w="120" w:type="dxa"/>
              <w:bottom w:w="80" w:type="dxa"/>
              <w:end w:w="120" w:type="dxa"/>
            </w:tcMar>
          </w:tcPr>
          <w:p>
            <w:pPr>
              <w:spacing w:after="0" w:line="259" w:lineRule="auto"/>
              <w:jc w:val="left"/>
            </w:pPr>
            <w:r>
              <w:rPr>
                <w:rFonts w:ascii="Calibri" w:hAnsi="Calibri" w:eastAsia="Calibri"/>
                <w:b/>
                <w:color w:val="111827"/>
                <w:sz w:val="17"/>
              </w:rPr>
              <w:t>packages/vision</w:t>
            </w:r>
          </w:p>
        </w:tc>
        <w:tc>
          <w:tcPr>
            <w:tcW w:type="dxa" w:w="641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Plant/stand, canopy, weed, disease and imagery pipelines</w:t>
            </w:r>
          </w:p>
        </w:tc>
      </w:tr>
      <w:tr>
        <w:trPr>
          <w:cantSplit/>
        </w:trPr>
        <w:tc>
          <w:tcPr>
            <w:tcW w:type="dxa" w:w="2950"/>
            <w:vAlign w:val="center"/>
            <w:tcMar>
              <w:top w:w="80" w:type="dxa"/>
              <w:start w:w="120" w:type="dxa"/>
              <w:bottom w:w="80" w:type="dxa"/>
              <w:end w:w="120" w:type="dxa"/>
            </w:tcMar>
          </w:tcPr>
          <w:p>
            <w:pPr>
              <w:spacing w:after="0" w:line="259" w:lineRule="auto"/>
              <w:jc w:val="left"/>
            </w:pPr>
            <w:r>
              <w:rPr>
                <w:rFonts w:ascii="Calibri" w:hAnsi="Calibri" w:eastAsia="Calibri"/>
                <w:b/>
                <w:color w:val="111827"/>
                <w:sz w:val="17"/>
              </w:rPr>
              <w:t>adapters/iot | weather | eo</w:t>
            </w:r>
          </w:p>
        </w:tc>
        <w:tc>
          <w:tcPr>
            <w:tcW w:type="dxa" w:w="641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MQTT, sensors, IMD/ECMWF/NASA/Copernicus and file ingestion</w:t>
            </w:r>
          </w:p>
        </w:tc>
      </w:tr>
      <w:tr>
        <w:trPr>
          <w:cantSplit/>
        </w:trPr>
        <w:tc>
          <w:tcPr>
            <w:tcW w:type="dxa" w:w="2950"/>
            <w:vAlign w:val="center"/>
            <w:tcMar>
              <w:top w:w="80" w:type="dxa"/>
              <w:start w:w="120" w:type="dxa"/>
              <w:bottom w:w="80" w:type="dxa"/>
              <w:end w:w="120" w:type="dxa"/>
            </w:tcMar>
          </w:tcPr>
          <w:p>
            <w:pPr>
              <w:spacing w:after="0" w:line="259" w:lineRule="auto"/>
              <w:jc w:val="left"/>
            </w:pPr>
            <w:r>
              <w:rPr>
                <w:rFonts w:ascii="Calibri" w:hAnsi="Calibri" w:eastAsia="Calibri"/>
                <w:b/>
                <w:color w:val="111827"/>
                <w:sz w:val="17"/>
              </w:rPr>
              <w:t>adapters/ros2</w:t>
            </w:r>
          </w:p>
        </w:tc>
        <w:tc>
          <w:tcPr>
            <w:tcW w:type="dxa" w:w="641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Optional MissionBridge only; no navigation or actuation</w:t>
            </w:r>
          </w:p>
        </w:tc>
      </w:tr>
      <w:tr>
        <w:trPr>
          <w:cantSplit/>
        </w:trPr>
        <w:tc>
          <w:tcPr>
            <w:tcW w:type="dxa" w:w="2950"/>
            <w:vAlign w:val="center"/>
            <w:tcMar>
              <w:top w:w="80" w:type="dxa"/>
              <w:start w:w="120" w:type="dxa"/>
              <w:bottom w:w="80" w:type="dxa"/>
              <w:end w:w="120" w:type="dxa"/>
            </w:tcMar>
          </w:tcPr>
          <w:p>
            <w:pPr>
              <w:spacing w:after="0" w:line="259" w:lineRule="auto"/>
              <w:jc w:val="left"/>
            </w:pPr>
            <w:r>
              <w:rPr>
                <w:rFonts w:ascii="Calibri" w:hAnsi="Calibri" w:eastAsia="Calibri"/>
                <w:b/>
                <w:color w:val="111827"/>
                <w:sz w:val="17"/>
              </w:rPr>
              <w:t>contracts</w:t>
            </w:r>
          </w:p>
        </w:tc>
        <w:tc>
          <w:tcPr>
            <w:tcW w:type="dxa" w:w="641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OpenAPI, JSON Schema, MQTT and ROS2 interface definitions</w:t>
            </w:r>
          </w:p>
        </w:tc>
      </w:tr>
      <w:tr>
        <w:trPr>
          <w:cantSplit/>
        </w:trPr>
        <w:tc>
          <w:tcPr>
            <w:tcW w:type="dxa" w:w="2950"/>
            <w:vAlign w:val="center"/>
            <w:tcMar>
              <w:top w:w="80" w:type="dxa"/>
              <w:start w:w="120" w:type="dxa"/>
              <w:bottom w:w="80" w:type="dxa"/>
              <w:end w:w="120" w:type="dxa"/>
            </w:tcMar>
          </w:tcPr>
          <w:p>
            <w:pPr>
              <w:spacing w:after="0" w:line="259" w:lineRule="auto"/>
              <w:jc w:val="left"/>
            </w:pPr>
            <w:r>
              <w:rPr>
                <w:rFonts w:ascii="Calibri" w:hAnsi="Calibri" w:eastAsia="Calibri"/>
                <w:b/>
                <w:color w:val="111827"/>
                <w:sz w:val="17"/>
              </w:rPr>
              <w:t>tests/fixtures/simulators</w:t>
            </w:r>
          </w:p>
        </w:tc>
        <w:tc>
          <w:tcPr>
            <w:tcW w:type="dxa" w:w="641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Unit, schema, replay, sensor and mission mocks</w:t>
            </w:r>
          </w:p>
        </w:tc>
      </w:tr>
      <w:tr>
        <w:trPr>
          <w:cantSplit/>
        </w:trPr>
        <w:tc>
          <w:tcPr>
            <w:tcW w:type="dxa" w:w="2950"/>
            <w:vAlign w:val="center"/>
            <w:tcMar>
              <w:top w:w="80" w:type="dxa"/>
              <w:start w:w="120" w:type="dxa"/>
              <w:bottom w:w="80" w:type="dxa"/>
              <w:end w:w="120" w:type="dxa"/>
            </w:tcMar>
          </w:tcPr>
          <w:p>
            <w:pPr>
              <w:spacing w:after="0" w:line="259" w:lineRule="auto"/>
              <w:jc w:val="left"/>
            </w:pPr>
            <w:r>
              <w:rPr>
                <w:rFonts w:ascii="Calibri" w:hAnsi="Calibri" w:eastAsia="Calibri"/>
                <w:b/>
                <w:color w:val="111827"/>
                <w:sz w:val="17"/>
              </w:rPr>
              <w:t>docs/data_registry</w:t>
            </w:r>
          </w:p>
        </w:tc>
        <w:tc>
          <w:tcPr>
            <w:tcW w:type="dxa" w:w="641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ADRs, SOPs, dataset/model cards, licences and field protocols</w:t>
            </w:r>
          </w:p>
        </w:tc>
      </w:tr>
    </w:tbl>
    <w:p>
      <w:pPr>
        <w:keepNext w:val="0"/>
        <w:spacing w:before="0" w:after="40" w:line="300" w:lineRule="auto"/>
        <w:jc w:val="left"/>
      </w:pPr>
      <w:r>
        <w:rPr>
          <w:rFonts w:ascii="Calibri" w:hAnsi="Calibri" w:eastAsia="Calibri"/>
          <w:b w:val="0"/>
          <w:i w:val="0"/>
          <w:color w:val="111827"/>
          <w:sz w:val="22"/>
        </w:rPr>
      </w:r>
    </w:p>
    <w:p>
      <w:pPr>
        <w:pStyle w:val="Heading2"/>
      </w:pPr>
      <w:r>
        <w:t>13.3 Branch and integration policy</w:t>
      </w:r>
    </w:p>
    <w:p>
      <w:pPr>
        <w:numPr>
          <w:ilvl w:val="0"/>
          <w:numId w:val="10"/>
        </w:numPr>
        <w:spacing w:after="80" w:line="300" w:lineRule="auto"/>
      </w:pPr>
      <w:r>
        <w:rPr>
          <w:rFonts w:ascii="Calibri" w:hAnsi="Calibri" w:eastAsia="Calibri"/>
          <w:color w:val="111827"/>
          <w:sz w:val="22"/>
        </w:rPr>
        <w:t>Protected main contains tested milestone releases only; protected develop is the daily integration branch.</w:t>
      </w:r>
    </w:p>
    <w:p>
      <w:pPr>
        <w:numPr>
          <w:ilvl w:val="0"/>
          <w:numId w:val="10"/>
        </w:numPr>
        <w:spacing w:after="80" w:line="300" w:lineRule="auto"/>
      </w:pPr>
      <w:r>
        <w:rPr>
          <w:rFonts w:ascii="Calibri" w:hAnsi="Calibri" w:eastAsia="Calibri"/>
          <w:color w:val="111827"/>
          <w:sz w:val="22"/>
        </w:rPr>
        <w:t>Each member works on short-lived task branches such as feature/AAG-101-soil-ingestion or feature/AAG-204-yield-forecast.</w:t>
      </w:r>
    </w:p>
    <w:p>
      <w:pPr>
        <w:numPr>
          <w:ilvl w:val="0"/>
          <w:numId w:val="10"/>
        </w:numPr>
        <w:spacing w:after="80" w:line="300" w:lineRule="auto"/>
      </w:pPr>
      <w:r>
        <w:rPr>
          <w:rFonts w:ascii="Calibri" w:hAnsi="Calibri" w:eastAsia="Calibri"/>
          <w:color w:val="111827"/>
          <w:sz w:val="22"/>
        </w:rPr>
        <w:t>Merge feature -&gt; develop through a pull request, one peer review and passing checks; merge develop -&gt; main only at a tested release gate.</w:t>
      </w:r>
    </w:p>
    <w:p>
      <w:pPr>
        <w:numPr>
          <w:ilvl w:val="0"/>
          <w:numId w:val="10"/>
        </w:numPr>
        <w:spacing w:after="80" w:line="300" w:lineRule="auto"/>
      </w:pPr>
      <w:r>
        <w:rPr>
          <w:rFonts w:ascii="Calibri" w:hAnsi="Calibri" w:eastAsia="Calibri"/>
          <w:color w:val="111827"/>
          <w:sz w:val="22"/>
        </w:rPr>
        <w:t>Clone once; fetch/pull for updates. Daily backup is commit and push on the member's task branch, not recloning main.</w:t>
      </w:r>
    </w:p>
    <w:p>
      <w:pPr>
        <w:numPr>
          <w:ilvl w:val="0"/>
          <w:numId w:val="10"/>
        </w:numPr>
        <w:spacing w:after="80" w:line="300" w:lineRule="auto"/>
      </w:pPr>
      <w:r>
        <w:rPr>
          <w:rFonts w:ascii="Calibri" w:hAnsi="Calibri" w:eastAsia="Calibri"/>
          <w:color w:val="111827"/>
          <w:sz w:val="22"/>
        </w:rPr>
        <w:t>Never commit raw datasets, secrets, virtual environments, generated videos, ROS build folders or large uncontrolled model files.</w:t>
      </w:r>
    </w:p>
    <w:p>
      <w:pPr>
        <w:pStyle w:val="Heading2"/>
      </w:pPr>
      <w:r>
        <w:t>13.4 Reproducibility contract</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cantSplit/>
        </w:trPr>
        <w:tc>
          <w:tcPr>
            <w:tcW w:type="dxa" w:w="2100"/>
            <w:shd w:fill="E8EEF5"/>
            <w:vAlign w:val="center"/>
            <w:tcMar>
              <w:top w:w="80" w:type="dxa"/>
              <w:start w:w="120" w:type="dxa"/>
              <w:bottom w:w="80" w:type="dxa"/>
              <w:end w:w="120" w:type="dxa"/>
            </w:tcMar>
          </w:tcPr>
          <w:p>
            <w:pPr>
              <w:spacing w:after="0" w:line="252" w:lineRule="auto"/>
              <w:jc w:val="center"/>
            </w:pPr>
            <w:r>
              <w:rPr>
                <w:rFonts w:ascii="Calibri" w:hAnsi="Calibri" w:eastAsia="Calibri"/>
                <w:b/>
                <w:color w:val="0B2545"/>
                <w:sz w:val="17"/>
              </w:rPr>
              <w:t>Artifact</w:t>
            </w:r>
          </w:p>
        </w:tc>
        <w:tc>
          <w:tcPr>
            <w:tcW w:type="dxa" w:w="7260"/>
            <w:shd w:fill="E8EEF5"/>
            <w:vAlign w:val="center"/>
            <w:tcMar>
              <w:top w:w="80" w:type="dxa"/>
              <w:start w:w="120" w:type="dxa"/>
              <w:bottom w:w="80" w:type="dxa"/>
              <w:end w:w="120" w:type="dxa"/>
            </w:tcMar>
          </w:tcPr>
          <w:p>
            <w:pPr>
              <w:spacing w:after="0" w:line="252" w:lineRule="auto"/>
              <w:jc w:val="center"/>
            </w:pPr>
            <w:r>
              <w:rPr>
                <w:rFonts w:ascii="Calibri" w:hAnsi="Calibri" w:eastAsia="Calibri"/>
                <w:b/>
                <w:color w:val="0B2545"/>
                <w:sz w:val="17"/>
              </w:rPr>
              <w:t>Required metadata</w:t>
            </w:r>
          </w:p>
        </w:tc>
      </w:tr>
      <w:tr>
        <w:trPr>
          <w:cantSplit/>
        </w:trPr>
        <w:tc>
          <w:tcPr>
            <w:tcW w:type="dxa" w:w="2100"/>
            <w:vAlign w:val="center"/>
            <w:tcMar>
              <w:top w:w="80" w:type="dxa"/>
              <w:start w:w="120" w:type="dxa"/>
              <w:bottom w:w="80" w:type="dxa"/>
              <w:end w:w="120" w:type="dxa"/>
            </w:tcMar>
          </w:tcPr>
          <w:p>
            <w:pPr>
              <w:spacing w:after="0" w:line="259" w:lineRule="auto"/>
              <w:jc w:val="left"/>
            </w:pPr>
            <w:r>
              <w:rPr>
                <w:rFonts w:ascii="Calibri" w:hAnsi="Calibri" w:eastAsia="Calibri"/>
                <w:b/>
                <w:color w:val="111827"/>
                <w:sz w:val="17"/>
              </w:rPr>
              <w:t>Dataset</w:t>
            </w:r>
          </w:p>
        </w:tc>
        <w:tc>
          <w:tcPr>
            <w:tcW w:type="dxa" w:w="72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Version, licence, source, split manifest, schema, checksums and exclusions</w:t>
            </w:r>
          </w:p>
        </w:tc>
      </w:tr>
      <w:tr>
        <w:trPr>
          <w:cantSplit/>
        </w:trPr>
        <w:tc>
          <w:tcPr>
            <w:tcW w:type="dxa" w:w="2100"/>
            <w:vAlign w:val="center"/>
            <w:tcMar>
              <w:top w:w="80" w:type="dxa"/>
              <w:start w:w="120" w:type="dxa"/>
              <w:bottom w:w="80" w:type="dxa"/>
              <w:end w:w="120" w:type="dxa"/>
            </w:tcMar>
          </w:tcPr>
          <w:p>
            <w:pPr>
              <w:spacing w:after="0" w:line="259" w:lineRule="auto"/>
              <w:jc w:val="left"/>
            </w:pPr>
            <w:r>
              <w:rPr>
                <w:rFonts w:ascii="Calibri" w:hAnsi="Calibri" w:eastAsia="Calibri"/>
                <w:b/>
                <w:color w:val="111827"/>
                <w:sz w:val="17"/>
              </w:rPr>
              <w:t>Experiment</w:t>
            </w:r>
          </w:p>
        </w:tc>
        <w:tc>
          <w:tcPr>
            <w:tcW w:type="dxa" w:w="72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Code commit, environment, data version, seed, features, hyperparameters and metrics</w:t>
            </w:r>
          </w:p>
        </w:tc>
      </w:tr>
      <w:tr>
        <w:trPr>
          <w:cantSplit/>
        </w:trPr>
        <w:tc>
          <w:tcPr>
            <w:tcW w:type="dxa" w:w="2100"/>
            <w:vAlign w:val="center"/>
            <w:tcMar>
              <w:top w:w="80" w:type="dxa"/>
              <w:start w:w="120" w:type="dxa"/>
              <w:bottom w:w="80" w:type="dxa"/>
              <w:end w:w="120" w:type="dxa"/>
            </w:tcMar>
          </w:tcPr>
          <w:p>
            <w:pPr>
              <w:spacing w:after="0" w:line="259" w:lineRule="auto"/>
              <w:jc w:val="left"/>
            </w:pPr>
            <w:r>
              <w:rPr>
                <w:rFonts w:ascii="Calibri" w:hAnsi="Calibri" w:eastAsia="Calibri"/>
                <w:b/>
                <w:color w:val="111827"/>
                <w:sz w:val="17"/>
              </w:rPr>
              <w:t>Model</w:t>
            </w:r>
          </w:p>
        </w:tc>
        <w:tc>
          <w:tcPr>
            <w:tcW w:type="dxa" w:w="72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Purpose, crop/domain, limitations, thresholds, calibration, evaluation and owner</w:t>
            </w:r>
          </w:p>
        </w:tc>
      </w:tr>
      <w:tr>
        <w:trPr>
          <w:cantSplit/>
        </w:trPr>
        <w:tc>
          <w:tcPr>
            <w:tcW w:type="dxa" w:w="2100"/>
            <w:vAlign w:val="center"/>
            <w:tcMar>
              <w:top w:w="80" w:type="dxa"/>
              <w:start w:w="120" w:type="dxa"/>
              <w:bottom w:w="80" w:type="dxa"/>
              <w:end w:w="120" w:type="dxa"/>
            </w:tcMar>
          </w:tcPr>
          <w:p>
            <w:pPr>
              <w:spacing w:after="0" w:line="259" w:lineRule="auto"/>
              <w:jc w:val="left"/>
            </w:pPr>
            <w:r>
              <w:rPr>
                <w:rFonts w:ascii="Calibri" w:hAnsi="Calibri" w:eastAsia="Calibri"/>
                <w:b/>
                <w:color w:val="111827"/>
                <w:sz w:val="17"/>
              </w:rPr>
              <w:t>Prediction</w:t>
            </w:r>
          </w:p>
        </w:tc>
        <w:tc>
          <w:tcPr>
            <w:tcW w:type="dxa" w:w="72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Model version, feature snapshot, horizon, uncertainty, explanation and expiry</w:t>
            </w:r>
          </w:p>
        </w:tc>
      </w:tr>
      <w:tr>
        <w:trPr>
          <w:cantSplit/>
        </w:trPr>
        <w:tc>
          <w:tcPr>
            <w:tcW w:type="dxa" w:w="2100"/>
            <w:vAlign w:val="center"/>
            <w:tcMar>
              <w:top w:w="80" w:type="dxa"/>
              <w:start w:w="120" w:type="dxa"/>
              <w:bottom w:w="80" w:type="dxa"/>
              <w:end w:w="120" w:type="dxa"/>
            </w:tcMar>
          </w:tcPr>
          <w:p>
            <w:pPr>
              <w:spacing w:after="0" w:line="259" w:lineRule="auto"/>
              <w:jc w:val="left"/>
            </w:pPr>
            <w:r>
              <w:rPr>
                <w:rFonts w:ascii="Calibri" w:hAnsi="Calibri" w:eastAsia="Calibri"/>
                <w:b/>
                <w:color w:val="111827"/>
                <w:sz w:val="17"/>
              </w:rPr>
              <w:t>Release</w:t>
            </w:r>
          </w:p>
        </w:tc>
        <w:tc>
          <w:tcPr>
            <w:tcW w:type="dxa" w:w="72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Migration notes, test report, known risks, rollback and evidence classification</w:t>
            </w:r>
          </w:p>
        </w:tc>
      </w:tr>
    </w:tbl>
    <w:p>
      <w:pPr>
        <w:keepNext w:val="0"/>
        <w:spacing w:before="0" w:after="40" w:line="300" w:lineRule="auto"/>
        <w:jc w:val="left"/>
      </w:pPr>
      <w:r>
        <w:rPr>
          <w:rFonts w:ascii="Calibri" w:hAnsi="Calibri" w:eastAsia="Calibri"/>
          <w:b w:val="0"/>
          <w:i w:val="0"/>
          <w:color w:val="111827"/>
          <w:sz w:val="22"/>
        </w:rPr>
      </w:r>
    </w:p>
    <w:p>
      <w:pPr>
        <w:pStyle w:val="Heading1"/>
      </w:pPr>
      <w:r>
        <w:t>14. Hardware, field resources and pilot-site plan</w:t>
      </w:r>
    </w:p>
    <w:p>
      <w:pPr>
        <w:pStyle w:val="Heading2"/>
      </w:pPr>
      <w:r>
        <w:t>14.1 Three resource tiers</w:t>
      </w:r>
    </w:p>
    <w:tbl>
      <w:tblPr>
        <w:tblStyle w:val="TableGrid"/>
        <w:tblW w:type="dxa" w:w="9360"/>
        <w:jc w:val="left"/>
        <w:tblLayout w:type="fixed"/>
        <w:tblLook w:firstColumn="1" w:firstRow="1" w:lastColumn="0" w:lastRow="0" w:noHBand="0" w:noVBand="1" w:val="04A0"/>
        <w:tblInd w:w="120" w:type="dxa"/>
      </w:tblPr>
      <w:tblGrid>
        <w:gridCol w:w="1600"/>
        <w:gridCol w:w="5100"/>
        <w:gridCol w:w="2660"/>
      </w:tblGrid>
      <w:tr>
        <w:trPr>
          <w:tblHeader w:val="true"/>
          <w:cantSplit/>
        </w:trPr>
        <w:tc>
          <w:tcPr>
            <w:tcW w:type="dxa" w:w="1600"/>
            <w:shd w:fill="E8EEF5"/>
            <w:vAlign w:val="center"/>
            <w:tcMar>
              <w:top w:w="80" w:type="dxa"/>
              <w:start w:w="120" w:type="dxa"/>
              <w:bottom w:w="80" w:type="dxa"/>
              <w:end w:w="120" w:type="dxa"/>
            </w:tcMar>
          </w:tcPr>
          <w:p>
            <w:pPr>
              <w:spacing w:after="0" w:line="252" w:lineRule="auto"/>
              <w:jc w:val="center"/>
            </w:pPr>
            <w:r>
              <w:rPr>
                <w:rFonts w:ascii="Calibri" w:hAnsi="Calibri" w:eastAsia="Calibri"/>
                <w:b/>
                <w:color w:val="0B2545"/>
                <w:sz w:val="17"/>
              </w:rPr>
              <w:t>Tier</w:t>
            </w:r>
          </w:p>
        </w:tc>
        <w:tc>
          <w:tcPr>
            <w:tcW w:type="dxa" w:w="5100"/>
            <w:shd w:fill="E8EEF5"/>
            <w:vAlign w:val="center"/>
            <w:tcMar>
              <w:top w:w="80" w:type="dxa"/>
              <w:start w:w="120" w:type="dxa"/>
              <w:bottom w:w="80" w:type="dxa"/>
              <w:end w:w="120" w:type="dxa"/>
            </w:tcMar>
          </w:tcPr>
          <w:p>
            <w:pPr>
              <w:spacing w:after="0" w:line="252" w:lineRule="auto"/>
              <w:jc w:val="center"/>
            </w:pPr>
            <w:r>
              <w:rPr>
                <w:rFonts w:ascii="Calibri" w:hAnsi="Calibri" w:eastAsia="Calibri"/>
                <w:b/>
                <w:color w:val="0B2545"/>
                <w:sz w:val="17"/>
              </w:rPr>
              <w:t>Resources</w:t>
            </w:r>
          </w:p>
        </w:tc>
        <w:tc>
          <w:tcPr>
            <w:tcW w:type="dxa" w:w="2660"/>
            <w:shd w:fill="E8EEF5"/>
            <w:vAlign w:val="center"/>
            <w:tcMar>
              <w:top w:w="80" w:type="dxa"/>
              <w:start w:w="120" w:type="dxa"/>
              <w:bottom w:w="80" w:type="dxa"/>
              <w:end w:w="120" w:type="dxa"/>
            </w:tcMar>
          </w:tcPr>
          <w:p>
            <w:pPr>
              <w:spacing w:after="0" w:line="252" w:lineRule="auto"/>
              <w:jc w:val="center"/>
            </w:pPr>
            <w:r>
              <w:rPr>
                <w:rFonts w:ascii="Calibri" w:hAnsi="Calibri" w:eastAsia="Calibri"/>
                <w:b/>
                <w:color w:val="0B2545"/>
                <w:sz w:val="17"/>
              </w:rPr>
              <w:t>Purpose</w:t>
            </w:r>
          </w:p>
        </w:tc>
      </w:tr>
      <w:tr>
        <w:trPr>
          <w:cantSplit/>
        </w:trPr>
        <w:tc>
          <w:tcPr>
            <w:tcW w:type="dxa" w:w="16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Tier 0 - simulation</w:t>
            </w:r>
          </w:p>
        </w:tc>
        <w:tc>
          <w:tcPr>
            <w:tcW w:type="dxa" w:w="51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Mac/PC or Colab, synthetic/replayed sensors, public imagery/data, mocked farm operations</w:t>
            </w:r>
          </w:p>
        </w:tc>
        <w:tc>
          <w:tcPr>
            <w:tcW w:type="dxa" w:w="26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Develop complete platform before field deployment</w:t>
            </w:r>
          </w:p>
        </w:tc>
      </w:tr>
      <w:tr>
        <w:trPr>
          <w:cantSplit/>
        </w:trPr>
        <w:tc>
          <w:tcPr>
            <w:tcW w:type="dxa" w:w="16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Tier 1 - low-cost pilot</w:t>
            </w:r>
          </w:p>
        </w:tc>
        <w:tc>
          <w:tcPr>
            <w:tcW w:type="dxa" w:w="51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Weather station, calibrated soil moisture/temperature, rain/flow, RGB capture, gateway, periodic lab tests</w:t>
            </w:r>
          </w:p>
        </w:tc>
        <w:tc>
          <w:tcPr>
            <w:tcW w:type="dxa" w:w="26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One flagship crop and controlled plots</w:t>
            </w:r>
          </w:p>
        </w:tc>
      </w:tr>
      <w:tr>
        <w:trPr>
          <w:cantSplit/>
        </w:trPr>
        <w:tc>
          <w:tcPr>
            <w:tcW w:type="dxa" w:w="16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Tier 2 - research expansion</w:t>
            </w:r>
          </w:p>
        </w:tc>
        <w:tc>
          <w:tcPr>
            <w:tcW w:type="dxa" w:w="51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Tensiometers/profile probes, RTK/DEM, thermal/multispectral/drone, EC mapping and redundant stations</w:t>
            </w:r>
          </w:p>
        </w:tc>
        <w:tc>
          <w:tcPr>
            <w:tcW w:type="dxa" w:w="26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Advanced publications and spatial validation</w:t>
            </w:r>
          </w:p>
        </w:tc>
      </w:tr>
    </w:tbl>
    <w:p>
      <w:pPr>
        <w:keepNext w:val="0"/>
        <w:spacing w:before="0" w:after="40" w:line="300" w:lineRule="auto"/>
        <w:jc w:val="left"/>
      </w:pPr>
      <w:r>
        <w:rPr>
          <w:rFonts w:ascii="Calibri" w:hAnsi="Calibri" w:eastAsia="Calibri"/>
          <w:b w:val="0"/>
          <w:i w:val="0"/>
          <w:color w:val="111827"/>
          <w:sz w:val="22"/>
        </w:rPr>
      </w:r>
    </w:p>
    <w:p>
      <w:pPr>
        <w:pStyle w:val="Heading2"/>
      </w:pPr>
      <w:r>
        <w:t>14.2 Pilot bill-of-functions</w:t>
      </w:r>
    </w:p>
    <w:tbl>
      <w:tblPr>
        <w:tblStyle w:val="TableGrid"/>
        <w:tblW w:type="dxa" w:w="9360"/>
        <w:jc w:val="left"/>
        <w:tblLayout w:type="fixed"/>
        <w:tblLook w:firstColumn="1" w:firstRow="1" w:lastColumn="0" w:lastRow="0" w:noHBand="0" w:noVBand="1" w:val="04A0"/>
        <w:tblInd w:w="120" w:type="dxa"/>
      </w:tblPr>
      <w:tblGrid>
        <w:gridCol w:w="1800"/>
        <w:gridCol w:w="4300"/>
        <w:gridCol w:w="3260"/>
      </w:tblGrid>
      <w:tr>
        <w:trPr>
          <w:tblHeader w:val="true"/>
          <w:cantSplit/>
        </w:trPr>
        <w:tc>
          <w:tcPr>
            <w:tcW w:type="dxa" w:w="1800"/>
            <w:shd w:fill="E8EEF5"/>
            <w:vAlign w:val="center"/>
            <w:tcMar>
              <w:top w:w="80" w:type="dxa"/>
              <w:start w:w="120" w:type="dxa"/>
              <w:bottom w:w="80" w:type="dxa"/>
              <w:end w:w="120" w:type="dxa"/>
            </w:tcMar>
          </w:tcPr>
          <w:p>
            <w:pPr>
              <w:spacing w:after="0" w:line="252" w:lineRule="auto"/>
              <w:jc w:val="center"/>
            </w:pPr>
            <w:r>
              <w:rPr>
                <w:rFonts w:ascii="Calibri" w:hAnsi="Calibri" w:eastAsia="Calibri"/>
                <w:b/>
                <w:color w:val="0B2545"/>
                <w:sz w:val="16"/>
              </w:rPr>
              <w:t>Function</w:t>
            </w:r>
          </w:p>
        </w:tc>
        <w:tc>
          <w:tcPr>
            <w:tcW w:type="dxa" w:w="4300"/>
            <w:shd w:fill="E8EEF5"/>
            <w:vAlign w:val="center"/>
            <w:tcMar>
              <w:top w:w="80" w:type="dxa"/>
              <w:start w:w="120" w:type="dxa"/>
              <w:bottom w:w="80" w:type="dxa"/>
              <w:end w:w="120" w:type="dxa"/>
            </w:tcMar>
          </w:tcPr>
          <w:p>
            <w:pPr>
              <w:spacing w:after="0" w:line="252" w:lineRule="auto"/>
              <w:jc w:val="center"/>
            </w:pPr>
            <w:r>
              <w:rPr>
                <w:rFonts w:ascii="Calibri" w:hAnsi="Calibri" w:eastAsia="Calibri"/>
                <w:b/>
                <w:color w:val="0B2545"/>
                <w:sz w:val="16"/>
              </w:rPr>
              <w:t>Required capability</w:t>
            </w:r>
          </w:p>
        </w:tc>
        <w:tc>
          <w:tcPr>
            <w:tcW w:type="dxa" w:w="3260"/>
            <w:shd w:fill="E8EEF5"/>
            <w:vAlign w:val="center"/>
            <w:tcMar>
              <w:top w:w="80" w:type="dxa"/>
              <w:start w:w="120" w:type="dxa"/>
              <w:bottom w:w="80" w:type="dxa"/>
              <w:end w:w="120" w:type="dxa"/>
            </w:tcMar>
          </w:tcPr>
          <w:p>
            <w:pPr>
              <w:spacing w:after="0" w:line="252" w:lineRule="auto"/>
              <w:jc w:val="center"/>
            </w:pPr>
            <w:r>
              <w:rPr>
                <w:rFonts w:ascii="Calibri" w:hAnsi="Calibri" w:eastAsia="Calibri"/>
                <w:b/>
                <w:color w:val="0B2545"/>
                <w:sz w:val="16"/>
              </w:rPr>
              <w:t>Procurement note</w:t>
            </w:r>
          </w:p>
        </w:tc>
      </w:tr>
      <w:tr>
        <w:trPr>
          <w:cantSplit/>
        </w:trPr>
        <w:tc>
          <w:tcPr>
            <w:tcW w:type="dxa" w:w="18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Plot geometry</w:t>
            </w:r>
          </w:p>
        </w:tc>
        <w:tc>
          <w:tcPr>
            <w:tcW w:type="dxa" w:w="43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Survey/import polygons and stable markers</w:t>
            </w:r>
          </w:p>
        </w:tc>
        <w:tc>
          <w:tcPr>
            <w:tcW w:type="dxa" w:w="32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Prefer reusable markers and measured coordinates</w:t>
            </w:r>
          </w:p>
        </w:tc>
      </w:tr>
      <w:tr>
        <w:trPr>
          <w:cantSplit/>
        </w:trPr>
        <w:tc>
          <w:tcPr>
            <w:tcW w:type="dxa" w:w="18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Soil moisture/temperature</w:t>
            </w:r>
          </w:p>
        </w:tc>
        <w:tc>
          <w:tcPr>
            <w:tcW w:type="dxa" w:w="43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Multiple crop-relevant depths in control and treatment plots</w:t>
            </w:r>
          </w:p>
        </w:tc>
        <w:tc>
          <w:tcPr>
            <w:tcW w:type="dxa" w:w="32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Choose field-serviceable probes and calibrate locally</w:t>
            </w:r>
          </w:p>
        </w:tc>
      </w:tr>
      <w:tr>
        <w:trPr>
          <w:cantSplit/>
        </w:trPr>
        <w:tc>
          <w:tcPr>
            <w:tcW w:type="dxa" w:w="18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Weather</w:t>
            </w:r>
          </w:p>
        </w:tc>
        <w:tc>
          <w:tcPr>
            <w:tcW w:type="dxa" w:w="43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Air temperature/humidity, rain and wind; time-synchronised logging</w:t>
            </w:r>
          </w:p>
        </w:tc>
        <w:tc>
          <w:tcPr>
            <w:tcW w:type="dxa" w:w="32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Locate away from obvious local obstruction where feasible</w:t>
            </w:r>
          </w:p>
        </w:tc>
      </w:tr>
      <w:tr>
        <w:trPr>
          <w:cantSplit/>
        </w:trPr>
        <w:tc>
          <w:tcPr>
            <w:tcW w:type="dxa" w:w="18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Irrigation</w:t>
            </w:r>
          </w:p>
        </w:tc>
        <w:tc>
          <w:tcPr>
            <w:tcW w:type="dxa" w:w="43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Measure applied water and operation time by treatment/zone</w:t>
            </w:r>
          </w:p>
        </w:tc>
        <w:tc>
          <w:tcPr>
            <w:tcW w:type="dxa" w:w="32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Flow evidence is essential for water-use claims</w:t>
            </w:r>
          </w:p>
        </w:tc>
      </w:tr>
      <w:tr>
        <w:trPr>
          <w:cantSplit/>
        </w:trPr>
        <w:tc>
          <w:tcPr>
            <w:tcW w:type="dxa" w:w="18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Imagery</w:t>
            </w:r>
          </w:p>
        </w:tc>
        <w:tc>
          <w:tcPr>
            <w:tcW w:type="dxa" w:w="43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Repeatable phone/fixed-camera RGB protocol</w:t>
            </w:r>
          </w:p>
        </w:tc>
        <w:tc>
          <w:tcPr>
            <w:tcW w:type="dxa" w:w="32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Consistent view/time plus calibration target where possible</w:t>
            </w:r>
          </w:p>
        </w:tc>
      </w:tr>
      <w:tr>
        <w:trPr>
          <w:cantSplit/>
        </w:trPr>
        <w:tc>
          <w:tcPr>
            <w:tcW w:type="dxa" w:w="18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Connectivity</w:t>
            </w:r>
          </w:p>
        </w:tc>
        <w:tc>
          <w:tcPr>
            <w:tcW w:type="dxa" w:w="43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Gateway buffer, retry, device health and local storage</w:t>
            </w:r>
          </w:p>
        </w:tc>
        <w:tc>
          <w:tcPr>
            <w:tcW w:type="dxa" w:w="32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Pilot must survive intermittent internet</w:t>
            </w:r>
          </w:p>
        </w:tc>
      </w:tr>
      <w:tr>
        <w:trPr>
          <w:cantSplit/>
        </w:trPr>
        <w:tc>
          <w:tcPr>
            <w:tcW w:type="dxa" w:w="18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Ground truth</w:t>
            </w:r>
          </w:p>
        </w:tc>
        <w:tc>
          <w:tcPr>
            <w:tcW w:type="dxa" w:w="43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Soil lab, field measurements, biomass/harvest quantity and quality</w:t>
            </w:r>
          </w:p>
        </w:tc>
        <w:tc>
          <w:tcPr>
            <w:tcW w:type="dxa" w:w="32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Budget for measurement before advanced hardware</w:t>
            </w:r>
          </w:p>
        </w:tc>
      </w:tr>
      <w:tr>
        <w:trPr>
          <w:cantSplit/>
        </w:trPr>
        <w:tc>
          <w:tcPr>
            <w:tcW w:type="dxa" w:w="18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Treatment materials</w:t>
            </w:r>
          </w:p>
        </w:tc>
        <w:tc>
          <w:tcPr>
            <w:tcW w:type="dxa" w:w="43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Approved mulch/hydrogel/amendment plus control</w:t>
            </w:r>
          </w:p>
        </w:tc>
        <w:tc>
          <w:tcPr>
            <w:tcW w:type="dxa" w:w="32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Retain labels, technical/safety sheets, lot and application record</w:t>
            </w:r>
          </w:p>
        </w:tc>
      </w:tr>
    </w:tbl>
    <w:p>
      <w:pPr>
        <w:keepNext w:val="0"/>
        <w:spacing w:before="0" w:after="40" w:line="300" w:lineRule="auto"/>
        <w:jc w:val="left"/>
      </w:pPr>
      <w:r>
        <w:rPr>
          <w:rFonts w:ascii="Calibri" w:hAnsi="Calibri" w:eastAsia="Calibri"/>
          <w:b w:val="0"/>
          <w:i w:val="0"/>
          <w:color w:val="111827"/>
          <w:sz w:val="22"/>
        </w:rPr>
      </w:r>
    </w:p>
    <w:p>
      <w:pPr>
        <w:pStyle w:val="Heading2"/>
      </w:pPr>
      <w:r>
        <w:t>14.3 Field partners</w:t>
      </w:r>
    </w:p>
    <w:p>
      <w:pPr>
        <w:numPr>
          <w:ilvl w:val="0"/>
          <w:numId w:val="10"/>
        </w:numPr>
        <w:spacing w:after="80" w:line="300" w:lineRule="auto"/>
      </w:pPr>
      <w:r>
        <w:rPr>
          <w:rFonts w:ascii="Calibri" w:hAnsi="Calibri" w:eastAsia="Calibri"/>
          <w:color w:val="111827"/>
          <w:sz w:val="22"/>
        </w:rPr>
        <w:t>Host farmer/farm manager: operations, access, ground truth and practical constraints.</w:t>
      </w:r>
    </w:p>
    <w:p>
      <w:pPr>
        <w:numPr>
          <w:ilvl w:val="0"/>
          <w:numId w:val="10"/>
        </w:numPr>
        <w:spacing w:after="80" w:line="300" w:lineRule="auto"/>
      </w:pPr>
      <w:r>
        <w:rPr>
          <w:rFonts w:ascii="Calibri" w:hAnsi="Calibri" w:eastAsia="Calibri"/>
          <w:color w:val="111827"/>
          <w:sz w:val="22"/>
        </w:rPr>
        <w:t>Agronomist/crop expert: crop pack, thresholds, treatment design, scouting and action approval.</w:t>
      </w:r>
    </w:p>
    <w:p>
      <w:pPr>
        <w:numPr>
          <w:ilvl w:val="0"/>
          <w:numId w:val="10"/>
        </w:numPr>
        <w:spacing w:after="80" w:line="300" w:lineRule="auto"/>
      </w:pPr>
      <w:r>
        <w:rPr>
          <w:rFonts w:ascii="Calibri" w:hAnsi="Calibri" w:eastAsia="Calibri"/>
          <w:color w:val="111827"/>
          <w:sz w:val="22"/>
        </w:rPr>
        <w:t>Soil scientist/laboratory: sampling protocol, analysis method and interpretation.</w:t>
      </w:r>
    </w:p>
    <w:p>
      <w:pPr>
        <w:numPr>
          <w:ilvl w:val="0"/>
          <w:numId w:val="10"/>
        </w:numPr>
        <w:spacing w:after="80" w:line="300" w:lineRule="auto"/>
      </w:pPr>
      <w:r>
        <w:rPr>
          <w:rFonts w:ascii="Calibri" w:hAnsi="Calibri" w:eastAsia="Calibri"/>
          <w:color w:val="111827"/>
          <w:sz w:val="22"/>
        </w:rPr>
        <w:t>IoT/electrical mentor: installation, power, weatherproofing, calibration and maintenance.</w:t>
      </w:r>
    </w:p>
    <w:p>
      <w:pPr>
        <w:numPr>
          <w:ilvl w:val="0"/>
          <w:numId w:val="10"/>
        </w:numPr>
        <w:spacing w:after="80" w:line="300" w:lineRule="auto"/>
      </w:pPr>
      <w:r>
        <w:rPr>
          <w:rFonts w:ascii="Calibri" w:hAnsi="Calibri" w:eastAsia="Calibri"/>
          <w:color w:val="111827"/>
          <w:sz w:val="22"/>
        </w:rPr>
        <w:t>Safety reviewer: equipment, chemical, field and robotics interfaces.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FFF3E6"/>
            <w:tcBorders>
              <w:top w:val="nil"/>
              <w:left w:val="single" w:sz="12" w:space="0" w:color="F28C28"/>
              <w:bottom w:val="nil"/>
              <w:right w:val="nil"/>
            </w:tcBorders>
          </w:tcPr>
          <w:p>
            <w:pPr>
              <w:spacing w:after="40" w:line="288" w:lineRule="auto"/>
            </w:pPr>
            <w:r>
              <w:rPr>
                <w:rFonts w:ascii="Calibri" w:hAnsi="Calibri" w:eastAsia="Calibri"/>
                <w:b/>
                <w:color w:val="F28C28"/>
                <w:sz w:val="21"/>
              </w:rPr>
              <w:t xml:space="preserve">Budget priority. </w:t>
            </w:r>
            <w:r>
              <w:rPr>
                <w:rFonts w:ascii="Calibri" w:hAnsi="Calibri" w:eastAsia="Calibri"/>
                <w:color w:val="111827"/>
                <w:sz w:val="21"/>
              </w:rPr>
              <w:t>When resources are limited, spend first on trustworthy ground truth, plot controls, calibration and water measurement. More sensors do not repair a weak experimental design.</w:t>
            </w:r>
          </w:p>
        </w:tc>
      </w:tr>
    </w:tbl>
    <w:p>
      <w:pPr>
        <w:keepNext w:val="0"/>
        <w:spacing w:before="0" w:after="40" w:line="300" w:lineRule="auto"/>
        <w:jc w:val="left"/>
      </w:pPr>
      <w:r>
        <w:rPr>
          <w:rFonts w:ascii="Calibri" w:hAnsi="Calibri" w:eastAsia="Calibri"/>
          <w:b w:val="0"/>
          <w:i w:val="0"/>
          <w:color w:val="111827"/>
          <w:sz w:val="22"/>
        </w:rPr>
      </w:r>
    </w:p>
    <w:p>
      <w:pPr>
        <w:pStyle w:val="Heading1"/>
      </w:pPr>
      <w:r>
        <w:t>15. ROS2 open-end docking contract</w:t>
      </w:r>
    </w:p>
    <w:p>
      <w:pPr>
        <w:spacing w:before="120" w:after="80"/>
        <w:jc w:val="center"/>
      </w:pPr>
      <w:r>
        <w:drawing>
          <wp:inline xmlns:a="http://schemas.openxmlformats.org/drawingml/2006/main" xmlns:pic="http://schemas.openxmlformats.org/drawingml/2006/picture">
            <wp:extent cx="5715000" cy="3234212"/>
            <wp:docPr id="6" name="Picture 6" descr="AgriGuard and RoboLink remain independently complete and connect through a versioned mission adapter plus mocks and contract tests."/>
            <wp:cNvGraphicFramePr>
              <a:graphicFrameLocks noChangeAspect="1"/>
            </wp:cNvGraphicFramePr>
            <a:graphic>
              <a:graphicData uri="http://schemas.openxmlformats.org/drawingml/2006/picture">
                <pic:pic>
                  <pic:nvPicPr>
                    <pic:cNvPr id="0" name="agriguard_ros2_open_end.png"/>
                    <pic:cNvPicPr/>
                  </pic:nvPicPr>
                  <pic:blipFill>
                    <a:blip r:embed="rId16"/>
                    <a:stretch>
                      <a:fillRect/>
                    </a:stretch>
                  </pic:blipFill>
                  <pic:spPr>
                    <a:xfrm>
                      <a:off x="0" y="0"/>
                      <a:ext cx="5715000" cy="3234212"/>
                    </a:xfrm>
                    <a:prstGeom prst="rect"/>
                  </pic:spPr>
                </pic:pic>
              </a:graphicData>
            </a:graphic>
          </wp:inline>
        </w:drawing>
      </w:r>
    </w:p>
    <w:p>
      <w:pPr>
        <w:keepNext w:val="0"/>
        <w:spacing w:before="0" w:after="160" w:line="300" w:lineRule="auto"/>
        <w:jc w:val="center"/>
      </w:pPr>
      <w:r>
        <w:rPr>
          <w:rFonts w:ascii="Calibri" w:hAnsi="Calibri" w:eastAsia="Calibri"/>
          <w:b w:val="0"/>
          <w:i/>
          <w:color w:val="667085"/>
          <w:sz w:val="18"/>
        </w:rPr>
        <w:t>Figure 6. Apollo AgriGuard open-end ROS2 docking architecture.</w:t>
      </w:r>
    </w:p>
    <w:p>
      <w:pPr>
        <w:pStyle w:val="Heading2"/>
      </w:pPr>
      <w:r>
        <w:t>15.1 Ownership boundary</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cantSplit/>
        </w:trPr>
        <w:tc>
          <w:tcPr>
            <w:tcW w:type="dxa" w:w="4680"/>
            <w:shd w:fill="E8EEF5"/>
            <w:vAlign w:val="center"/>
            <w:tcMar>
              <w:top w:w="80" w:type="dxa"/>
              <w:start w:w="120" w:type="dxa"/>
              <w:bottom w:w="80" w:type="dxa"/>
              <w:end w:w="120" w:type="dxa"/>
            </w:tcMar>
          </w:tcPr>
          <w:p>
            <w:pPr>
              <w:spacing w:after="0" w:line="252" w:lineRule="auto"/>
              <w:jc w:val="center"/>
            </w:pPr>
            <w:r>
              <w:rPr>
                <w:rFonts w:ascii="Calibri" w:hAnsi="Calibri" w:eastAsia="Calibri"/>
                <w:b/>
                <w:color w:val="0B2545"/>
                <w:sz w:val="17"/>
              </w:rPr>
              <w:t>Apollo AgriGuard owns</w:t>
            </w:r>
          </w:p>
        </w:tc>
        <w:tc>
          <w:tcPr>
            <w:tcW w:type="dxa" w:w="4680"/>
            <w:shd w:fill="E8EEF5"/>
            <w:vAlign w:val="center"/>
            <w:tcMar>
              <w:top w:w="80" w:type="dxa"/>
              <w:start w:w="120" w:type="dxa"/>
              <w:bottom w:w="80" w:type="dxa"/>
              <w:end w:w="120" w:type="dxa"/>
            </w:tcMar>
          </w:tcPr>
          <w:p>
            <w:pPr>
              <w:spacing w:after="0" w:line="252" w:lineRule="auto"/>
              <w:jc w:val="center"/>
            </w:pPr>
            <w:r>
              <w:rPr>
                <w:rFonts w:ascii="Calibri" w:hAnsi="Calibri" w:eastAsia="Calibri"/>
                <w:b/>
                <w:color w:val="0B2545"/>
                <w:sz w:val="17"/>
              </w:rPr>
              <w:t>Apollo RoboLink owns</w:t>
            </w:r>
          </w:p>
        </w:tc>
      </w:tr>
      <w:tr>
        <w:trPr>
          <w:cantSplit/>
        </w:trPr>
        <w:tc>
          <w:tcPr>
            <w:tcW w:type="dxa" w:w="468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Farm/field/plot geometry for planning and mission target context</w:t>
            </w:r>
          </w:p>
        </w:tc>
        <w:tc>
          <w:tcPr>
            <w:tcW w:type="dxa" w:w="468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Robot map conversion, localisation and traversability</w:t>
            </w:r>
          </w:p>
        </w:tc>
      </w:tr>
      <w:tr>
        <w:trPr>
          <w:cantSplit/>
        </w:trPr>
        <w:tc>
          <w:tcPr>
            <w:tcW w:type="dxa" w:w="468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Risk/forecast, recommendation, approval and mission intent</w:t>
            </w:r>
          </w:p>
        </w:tc>
        <w:tc>
          <w:tcPr>
            <w:tcW w:type="dxa" w:w="468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Route planning, obstacle avoidance and mission feasibility</w:t>
            </w:r>
          </w:p>
        </w:tc>
      </w:tr>
      <w:tr>
        <w:trPr>
          <w:cantSplit/>
        </w:trPr>
        <w:tc>
          <w:tcPr>
            <w:tcW w:type="dxa" w:w="468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Target observations and expected evidence</w:t>
            </w:r>
          </w:p>
        </w:tc>
        <w:tc>
          <w:tcPr>
            <w:tcW w:type="dxa" w:w="468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Sensors/payload drivers, capture and transport</w:t>
            </w:r>
          </w:p>
        </w:tc>
      </w:tr>
      <w:tr>
        <w:trPr>
          <w:cantSplit/>
        </w:trPr>
        <w:tc>
          <w:tcPr>
            <w:tcW w:type="dxa" w:w="468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Task state and agronomic outcome</w:t>
            </w:r>
          </w:p>
        </w:tc>
        <w:tc>
          <w:tcPr>
            <w:tcW w:type="dxa" w:w="468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Robot feedback, execution status, faults and safety events</w:t>
            </w:r>
          </w:p>
        </w:tc>
      </w:tr>
      <w:tr>
        <w:trPr>
          <w:cantSplit/>
        </w:trPr>
        <w:tc>
          <w:tcPr>
            <w:tcW w:type="dxa" w:w="468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MissionBridge adapter, schemas, mocks and docking tests</w:t>
            </w:r>
          </w:p>
        </w:tc>
        <w:tc>
          <w:tcPr>
            <w:tcW w:type="dxa" w:w="468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ROS2 nodes, actions, lifecycle, QoS and emergency behaviour</w:t>
            </w:r>
          </w:p>
        </w:tc>
      </w:tr>
    </w:tbl>
    <w:p>
      <w:pPr>
        <w:keepNext w:val="0"/>
        <w:spacing w:before="0" w:after="40" w:line="300" w:lineRule="auto"/>
        <w:jc w:val="left"/>
      </w:pPr>
      <w:r>
        <w:rPr>
          <w:rFonts w:ascii="Calibri" w:hAnsi="Calibri" w:eastAsia="Calibri"/>
          <w:b w:val="0"/>
          <w:i w:val="0"/>
          <w:color w:val="111827"/>
          <w:sz w:val="22"/>
        </w:rPr>
      </w:r>
    </w:p>
    <w:p>
      <w:pPr>
        <w:pStyle w:val="Heading2"/>
      </w:pPr>
      <w:r>
        <w:t>15.2 Mission request minimum</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cantSplit/>
        </w:trPr>
        <w:tc>
          <w:tcPr>
            <w:tcW w:type="dxa" w:w="2600"/>
            <w:shd w:fill="E8EEF5"/>
            <w:vAlign w:val="center"/>
            <w:tcMar>
              <w:top w:w="80" w:type="dxa"/>
              <w:start w:w="120" w:type="dxa"/>
              <w:bottom w:w="80" w:type="dxa"/>
              <w:end w:w="120" w:type="dxa"/>
            </w:tcMar>
          </w:tcPr>
          <w:p>
            <w:pPr>
              <w:spacing w:after="0" w:line="252" w:lineRule="auto"/>
              <w:jc w:val="center"/>
            </w:pPr>
            <w:r>
              <w:rPr>
                <w:rFonts w:ascii="Calibri" w:hAnsi="Calibri" w:eastAsia="Calibri"/>
                <w:b/>
                <w:color w:val="0B2545"/>
                <w:sz w:val="17"/>
              </w:rPr>
              <w:t>Field</w:t>
            </w:r>
          </w:p>
        </w:tc>
        <w:tc>
          <w:tcPr>
            <w:tcW w:type="dxa" w:w="6760"/>
            <w:shd w:fill="E8EEF5"/>
            <w:vAlign w:val="center"/>
            <w:tcMar>
              <w:top w:w="80" w:type="dxa"/>
              <w:start w:w="120" w:type="dxa"/>
              <w:bottom w:w="80" w:type="dxa"/>
              <w:end w:w="120" w:type="dxa"/>
            </w:tcMar>
          </w:tcPr>
          <w:p>
            <w:pPr>
              <w:spacing w:after="0" w:line="252" w:lineRule="auto"/>
              <w:jc w:val="center"/>
            </w:pPr>
            <w:r>
              <w:rPr>
                <w:rFonts w:ascii="Calibri" w:hAnsi="Calibri" w:eastAsia="Calibri"/>
                <w:b/>
                <w:color w:val="0B2545"/>
                <w:sz w:val="17"/>
              </w:rPr>
              <w:t>Requirement</w:t>
            </w:r>
          </w:p>
        </w:tc>
      </w:tr>
      <w:tr>
        <w:trPr>
          <w:cantSplit/>
        </w:trPr>
        <w:tc>
          <w:tcPr>
            <w:tcW w:type="dxa" w:w="2600"/>
            <w:vAlign w:val="center"/>
            <w:tcMar>
              <w:top w:w="80" w:type="dxa"/>
              <w:start w:w="120" w:type="dxa"/>
              <w:bottom w:w="80" w:type="dxa"/>
              <w:end w:w="120" w:type="dxa"/>
            </w:tcMar>
          </w:tcPr>
          <w:p>
            <w:pPr>
              <w:spacing w:after="0" w:line="259" w:lineRule="auto"/>
              <w:jc w:val="left"/>
            </w:pPr>
            <w:r>
              <w:rPr>
                <w:rFonts w:ascii="Calibri" w:hAnsi="Calibri" w:eastAsia="Calibri"/>
                <w:b/>
                <w:color w:val="111827"/>
                <w:sz w:val="17"/>
              </w:rPr>
              <w:t>mission_id / idempotency_key</w:t>
            </w:r>
          </w:p>
        </w:tc>
        <w:tc>
          <w:tcPr>
            <w:tcW w:type="dxa" w:w="67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Stable unique IDs; retries must not duplicate physical work</w:t>
            </w:r>
          </w:p>
        </w:tc>
      </w:tr>
      <w:tr>
        <w:trPr>
          <w:cantSplit/>
        </w:trPr>
        <w:tc>
          <w:tcPr>
            <w:tcW w:type="dxa" w:w="2600"/>
            <w:vAlign w:val="center"/>
            <w:tcMar>
              <w:top w:w="80" w:type="dxa"/>
              <w:start w:w="120" w:type="dxa"/>
              <w:bottom w:w="80" w:type="dxa"/>
              <w:end w:w="120" w:type="dxa"/>
            </w:tcMar>
          </w:tcPr>
          <w:p>
            <w:pPr>
              <w:spacing w:after="0" w:line="259" w:lineRule="auto"/>
              <w:jc w:val="left"/>
            </w:pPr>
            <w:r>
              <w:rPr>
                <w:rFonts w:ascii="Calibri" w:hAnsi="Calibri" w:eastAsia="Calibri"/>
                <w:b/>
                <w:color w:val="111827"/>
                <w:sz w:val="17"/>
              </w:rPr>
              <w:t>mission_type</w:t>
            </w:r>
          </w:p>
        </w:tc>
        <w:tc>
          <w:tcPr>
            <w:tcW w:type="dxa" w:w="67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inspect_zone, capture_imagery, sample_point, irrigate_zone, weed/protect_target or harvest_zone</w:t>
            </w:r>
          </w:p>
        </w:tc>
      </w:tr>
      <w:tr>
        <w:trPr>
          <w:cantSplit/>
        </w:trPr>
        <w:tc>
          <w:tcPr>
            <w:tcW w:type="dxa" w:w="2600"/>
            <w:vAlign w:val="center"/>
            <w:tcMar>
              <w:top w:w="80" w:type="dxa"/>
              <w:start w:w="120" w:type="dxa"/>
              <w:bottom w:w="80" w:type="dxa"/>
              <w:end w:w="120" w:type="dxa"/>
            </w:tcMar>
          </w:tcPr>
          <w:p>
            <w:pPr>
              <w:spacing w:after="0" w:line="259" w:lineRule="auto"/>
              <w:jc w:val="left"/>
            </w:pPr>
            <w:r>
              <w:rPr>
                <w:rFonts w:ascii="Calibri" w:hAnsi="Calibri" w:eastAsia="Calibri"/>
                <w:b/>
                <w:color w:val="111827"/>
                <w:sz w:val="17"/>
              </w:rPr>
              <w:t>target</w:t>
            </w:r>
          </w:p>
        </w:tc>
        <w:tc>
          <w:tcPr>
            <w:tcW w:type="dxa" w:w="67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Farm/field/plot/zone IDs plus permitted geometry and coordinate reference</w:t>
            </w:r>
          </w:p>
        </w:tc>
      </w:tr>
      <w:tr>
        <w:trPr>
          <w:cantSplit/>
        </w:trPr>
        <w:tc>
          <w:tcPr>
            <w:tcW w:type="dxa" w:w="2600"/>
            <w:vAlign w:val="center"/>
            <w:tcMar>
              <w:top w:w="80" w:type="dxa"/>
              <w:start w:w="120" w:type="dxa"/>
              <w:bottom w:w="80" w:type="dxa"/>
              <w:end w:w="120" w:type="dxa"/>
            </w:tcMar>
          </w:tcPr>
          <w:p>
            <w:pPr>
              <w:spacing w:after="0" w:line="259" w:lineRule="auto"/>
              <w:jc w:val="left"/>
            </w:pPr>
            <w:r>
              <w:rPr>
                <w:rFonts w:ascii="Calibri" w:hAnsi="Calibri" w:eastAsia="Calibri"/>
                <w:b/>
                <w:color w:val="111827"/>
                <w:sz w:val="17"/>
              </w:rPr>
              <w:t>priority and window</w:t>
            </w:r>
          </w:p>
        </w:tc>
        <w:tc>
          <w:tcPr>
            <w:tcW w:type="dxa" w:w="67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Not-before, deadline, expiry and cancellation rules</w:t>
            </w:r>
          </w:p>
        </w:tc>
      </w:tr>
      <w:tr>
        <w:trPr>
          <w:cantSplit/>
        </w:trPr>
        <w:tc>
          <w:tcPr>
            <w:tcW w:type="dxa" w:w="2600"/>
            <w:vAlign w:val="center"/>
            <w:tcMar>
              <w:top w:w="80" w:type="dxa"/>
              <w:start w:w="120" w:type="dxa"/>
              <w:bottom w:w="80" w:type="dxa"/>
              <w:end w:w="120" w:type="dxa"/>
            </w:tcMar>
          </w:tcPr>
          <w:p>
            <w:pPr>
              <w:spacing w:after="0" w:line="259" w:lineRule="auto"/>
              <w:jc w:val="left"/>
            </w:pPr>
            <w:r>
              <w:rPr>
                <w:rFonts w:ascii="Calibri" w:hAnsi="Calibri" w:eastAsia="Calibri"/>
                <w:b/>
                <w:color w:val="111827"/>
                <w:sz w:val="17"/>
              </w:rPr>
              <w:t>evidence</w:t>
            </w:r>
          </w:p>
        </w:tc>
        <w:tc>
          <w:tcPr>
            <w:tcW w:type="dxa" w:w="67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Alert/prediction/task IDs, reason, confidence and data timestamp</w:t>
            </w:r>
          </w:p>
        </w:tc>
      </w:tr>
      <w:tr>
        <w:trPr>
          <w:cantSplit/>
        </w:trPr>
        <w:tc>
          <w:tcPr>
            <w:tcW w:type="dxa" w:w="2600"/>
            <w:vAlign w:val="center"/>
            <w:tcMar>
              <w:top w:w="80" w:type="dxa"/>
              <w:start w:w="120" w:type="dxa"/>
              <w:bottom w:w="80" w:type="dxa"/>
              <w:end w:w="120" w:type="dxa"/>
            </w:tcMar>
          </w:tcPr>
          <w:p>
            <w:pPr>
              <w:spacing w:after="0" w:line="259" w:lineRule="auto"/>
              <w:jc w:val="left"/>
            </w:pPr>
            <w:r>
              <w:rPr>
                <w:rFonts w:ascii="Calibri" w:hAnsi="Calibri" w:eastAsia="Calibri"/>
                <w:b/>
                <w:color w:val="111827"/>
                <w:sz w:val="17"/>
              </w:rPr>
              <w:t>parameters</w:t>
            </w:r>
          </w:p>
        </w:tc>
        <w:tc>
          <w:tcPr>
            <w:tcW w:type="dxa" w:w="67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Operation-specific values, limits and units; never ambiguous free text</w:t>
            </w:r>
          </w:p>
        </w:tc>
      </w:tr>
      <w:tr>
        <w:trPr>
          <w:cantSplit/>
        </w:trPr>
        <w:tc>
          <w:tcPr>
            <w:tcW w:type="dxa" w:w="2600"/>
            <w:vAlign w:val="center"/>
            <w:tcMar>
              <w:top w:w="80" w:type="dxa"/>
              <w:start w:w="120" w:type="dxa"/>
              <w:bottom w:w="80" w:type="dxa"/>
              <w:end w:w="120" w:type="dxa"/>
            </w:tcMar>
          </w:tcPr>
          <w:p>
            <w:pPr>
              <w:spacing w:after="0" w:line="259" w:lineRule="auto"/>
              <w:jc w:val="left"/>
            </w:pPr>
            <w:r>
              <w:rPr>
                <w:rFonts w:ascii="Calibri" w:hAnsi="Calibri" w:eastAsia="Calibri"/>
                <w:b/>
                <w:color w:val="111827"/>
                <w:sz w:val="17"/>
              </w:rPr>
              <w:t>safety/approval</w:t>
            </w:r>
          </w:p>
        </w:tc>
        <w:tc>
          <w:tcPr>
            <w:tcW w:type="dxa" w:w="67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Approval level, geofence, human supervisor and prohibited conditions</w:t>
            </w:r>
          </w:p>
        </w:tc>
      </w:tr>
      <w:tr>
        <w:trPr>
          <w:cantSplit/>
        </w:trPr>
        <w:tc>
          <w:tcPr>
            <w:tcW w:type="dxa" w:w="2600"/>
            <w:vAlign w:val="center"/>
            <w:tcMar>
              <w:top w:w="80" w:type="dxa"/>
              <w:start w:w="120" w:type="dxa"/>
              <w:bottom w:w="80" w:type="dxa"/>
              <w:end w:w="120" w:type="dxa"/>
            </w:tcMar>
          </w:tcPr>
          <w:p>
            <w:pPr>
              <w:spacing w:after="0" w:line="259" w:lineRule="auto"/>
              <w:jc w:val="left"/>
            </w:pPr>
            <w:r>
              <w:rPr>
                <w:rFonts w:ascii="Calibri" w:hAnsi="Calibri" w:eastAsia="Calibri"/>
                <w:b/>
                <w:color w:val="111827"/>
                <w:sz w:val="17"/>
              </w:rPr>
              <w:t>result contract</w:t>
            </w:r>
          </w:p>
        </w:tc>
        <w:tc>
          <w:tcPr>
            <w:tcW w:type="dxa" w:w="67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Accepted/rejected, feedback, evidence artifacts, completion, quantity and fault</w:t>
            </w:r>
          </w:p>
        </w:tc>
      </w:tr>
    </w:tbl>
    <w:p>
      <w:pPr>
        <w:keepNext w:val="0"/>
        <w:spacing w:before="0" w:after="40" w:line="300" w:lineRule="auto"/>
        <w:jc w:val="left"/>
      </w:pPr>
      <w:r>
        <w:rPr>
          <w:rFonts w:ascii="Calibri" w:hAnsi="Calibri" w:eastAsia="Calibri"/>
          <w:b w:val="0"/>
          <w:i w:val="0"/>
          <w:color w:val="111827"/>
          <w:sz w:val="22"/>
        </w:rPr>
      </w:r>
    </w:p>
    <w:p>
      <w:pPr>
        <w:pStyle w:val="Heading2"/>
      </w:pPr>
      <w:r>
        <w:t>15.3 Automation classes</w:t>
      </w:r>
    </w:p>
    <w:tbl>
      <w:tblPr>
        <w:tblStyle w:val="TableGrid"/>
        <w:tblW w:type="dxa" w:w="9360"/>
        <w:jc w:val="left"/>
        <w:tblLayout w:type="fixed"/>
        <w:tblLook w:firstColumn="1" w:firstRow="1" w:lastColumn="0" w:lastRow="0" w:noHBand="0" w:noVBand="1" w:val="04A0"/>
        <w:tblInd w:w="120" w:type="dxa"/>
      </w:tblPr>
      <w:tblGrid>
        <w:gridCol w:w="1250"/>
        <w:gridCol w:w="3000"/>
        <w:gridCol w:w="5110"/>
      </w:tblGrid>
      <w:tr>
        <w:trPr>
          <w:tblHeader w:val="true"/>
          <w:cantSplit/>
        </w:trPr>
        <w:tc>
          <w:tcPr>
            <w:tcW w:type="dxa" w:w="1250"/>
            <w:shd w:fill="E8EEF5"/>
            <w:vAlign w:val="center"/>
            <w:tcMar>
              <w:top w:w="80" w:type="dxa"/>
              <w:start w:w="120" w:type="dxa"/>
              <w:bottom w:w="80" w:type="dxa"/>
              <w:end w:w="120" w:type="dxa"/>
            </w:tcMar>
          </w:tcPr>
          <w:p>
            <w:pPr>
              <w:spacing w:after="0" w:line="252" w:lineRule="auto"/>
              <w:jc w:val="center"/>
            </w:pPr>
            <w:r>
              <w:rPr>
                <w:rFonts w:ascii="Calibri" w:hAnsi="Calibri" w:eastAsia="Calibri"/>
                <w:b/>
                <w:color w:val="0B2545"/>
                <w:sz w:val="16"/>
              </w:rPr>
              <w:t>Class</w:t>
            </w:r>
          </w:p>
        </w:tc>
        <w:tc>
          <w:tcPr>
            <w:tcW w:type="dxa" w:w="3000"/>
            <w:shd w:fill="E8EEF5"/>
            <w:vAlign w:val="center"/>
            <w:tcMar>
              <w:top w:w="80" w:type="dxa"/>
              <w:start w:w="120" w:type="dxa"/>
              <w:bottom w:w="80" w:type="dxa"/>
              <w:end w:w="120" w:type="dxa"/>
            </w:tcMar>
          </w:tcPr>
          <w:p>
            <w:pPr>
              <w:spacing w:after="0" w:line="252" w:lineRule="auto"/>
              <w:jc w:val="center"/>
            </w:pPr>
            <w:r>
              <w:rPr>
                <w:rFonts w:ascii="Calibri" w:hAnsi="Calibri" w:eastAsia="Calibri"/>
                <w:b/>
                <w:color w:val="0B2545"/>
                <w:sz w:val="16"/>
              </w:rPr>
              <w:t>Examples</w:t>
            </w:r>
          </w:p>
        </w:tc>
        <w:tc>
          <w:tcPr>
            <w:tcW w:type="dxa" w:w="5110"/>
            <w:shd w:fill="E8EEF5"/>
            <w:vAlign w:val="center"/>
            <w:tcMar>
              <w:top w:w="80" w:type="dxa"/>
              <w:start w:w="120" w:type="dxa"/>
              <w:bottom w:w="80" w:type="dxa"/>
              <w:end w:w="120" w:type="dxa"/>
            </w:tcMar>
          </w:tcPr>
          <w:p>
            <w:pPr>
              <w:spacing w:after="0" w:line="252" w:lineRule="auto"/>
              <w:jc w:val="center"/>
            </w:pPr>
            <w:r>
              <w:rPr>
                <w:rFonts w:ascii="Calibri" w:hAnsi="Calibri" w:eastAsia="Calibri"/>
                <w:b/>
                <w:color w:val="0B2545"/>
                <w:sz w:val="16"/>
              </w:rPr>
              <w:t>Policy</w:t>
            </w:r>
          </w:p>
        </w:tc>
      </w:tr>
      <w:tr>
        <w:trPr>
          <w:cantSplit/>
        </w:trPr>
        <w:tc>
          <w:tcPr>
            <w:tcW w:type="dxa" w:w="125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A - observe</w:t>
            </w:r>
          </w:p>
        </w:tc>
        <w:tc>
          <w:tcPr>
            <w:tcW w:type="dxa" w:w="30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Patrol, image, measure, verify</w:t>
            </w:r>
          </w:p>
        </w:tc>
        <w:tc>
          <w:tcPr>
            <w:tcW w:type="dxa" w:w="511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May be pre-approved in geofence with RoboLink safety controls</w:t>
            </w:r>
          </w:p>
        </w:tc>
      </w:tr>
      <w:tr>
        <w:trPr>
          <w:cantSplit/>
        </w:trPr>
        <w:tc>
          <w:tcPr>
            <w:tcW w:type="dxa" w:w="125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B - reversible/low energy</w:t>
            </w:r>
          </w:p>
        </w:tc>
        <w:tc>
          <w:tcPr>
            <w:tcW w:type="dxa" w:w="30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Open approved irrigation zone within bounded limit</w:t>
            </w:r>
          </w:p>
        </w:tc>
        <w:tc>
          <w:tcPr>
            <w:tcW w:type="dxa" w:w="511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Requires rules, interlocks, audit and immediate stop</w:t>
            </w:r>
          </w:p>
        </w:tc>
      </w:tr>
      <w:tr>
        <w:trPr>
          <w:cantSplit/>
        </w:trPr>
        <w:tc>
          <w:tcPr>
            <w:tcW w:type="dxa" w:w="125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C - agronomic intervention</w:t>
            </w:r>
          </w:p>
        </w:tc>
        <w:tc>
          <w:tcPr>
            <w:tcW w:type="dxa" w:w="30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Spray, weed, fertilize, soil operation</w:t>
            </w:r>
          </w:p>
        </w:tc>
        <w:tc>
          <w:tcPr>
            <w:tcW w:type="dxa" w:w="511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Human/domain approval plus RoboLink safety and legal compliance</w:t>
            </w:r>
          </w:p>
        </w:tc>
      </w:tr>
      <w:tr>
        <w:trPr>
          <w:cantSplit/>
        </w:trPr>
        <w:tc>
          <w:tcPr>
            <w:tcW w:type="dxa" w:w="125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D - heavy machinery</w:t>
            </w:r>
          </w:p>
        </w:tc>
        <w:tc>
          <w:tcPr>
            <w:tcW w:type="dxa" w:w="30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Autonomous harvester or high-energy vehicle</w:t>
            </w:r>
          </w:p>
        </w:tc>
        <w:tc>
          <w:tcPr>
            <w:tcW w:type="dxa" w:w="511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Human supervisor and dedicated field safety case; never forecast-only deployment</w:t>
            </w:r>
          </w:p>
        </w:tc>
      </w:tr>
    </w:tbl>
    <w:p>
      <w:pPr>
        <w:keepNext w:val="0"/>
        <w:spacing w:before="0" w:after="40" w:line="300" w:lineRule="auto"/>
        <w:jc w:val="left"/>
      </w:pPr>
      <w:r>
        <w:rPr>
          <w:rFonts w:ascii="Calibri" w:hAnsi="Calibri" w:eastAsia="Calibri"/>
          <w:b w:val="0"/>
          <w:i w:val="0"/>
          <w:color w:val="111827"/>
          <w:sz w:val="22"/>
        </w:rPr>
      </w:r>
    </w:p>
    <w:p>
      <w:pPr>
        <w:pStyle w:val="Heading2"/>
      </w:pPr>
      <w:r>
        <w:t>15.4 Mock-first tests</w:t>
      </w:r>
    </w:p>
    <w:p>
      <w:pPr>
        <w:numPr>
          <w:ilvl w:val="0"/>
          <w:numId w:val="10"/>
        </w:numPr>
        <w:spacing w:after="80" w:line="300" w:lineRule="auto"/>
      </w:pPr>
      <w:r>
        <w:rPr>
          <w:rFonts w:ascii="Calibri" w:hAnsi="Calibri" w:eastAsia="Calibri"/>
          <w:color w:val="111827"/>
          <w:sz w:val="22"/>
        </w:rPr>
        <w:t>AgriGuard publishes a valid mission and receives accept/reject, feedback and result from a simulator.</w:t>
      </w:r>
    </w:p>
    <w:p>
      <w:pPr>
        <w:numPr>
          <w:ilvl w:val="0"/>
          <w:numId w:val="10"/>
        </w:numPr>
        <w:spacing w:after="80" w:line="300" w:lineRule="auto"/>
      </w:pPr>
      <w:r>
        <w:rPr>
          <w:rFonts w:ascii="Calibri" w:hAnsi="Calibri" w:eastAsia="Calibri"/>
          <w:color w:val="111827"/>
          <w:sz w:val="22"/>
        </w:rPr>
        <w:t>Duplicate request returns the same mission rather than repeating physical work.</w:t>
      </w:r>
    </w:p>
    <w:p>
      <w:pPr>
        <w:numPr>
          <w:ilvl w:val="0"/>
          <w:numId w:val="10"/>
        </w:numPr>
        <w:spacing w:after="80" w:line="300" w:lineRule="auto"/>
      </w:pPr>
      <w:r>
        <w:rPr>
          <w:rFonts w:ascii="Calibri" w:hAnsi="Calibri" w:eastAsia="Calibri"/>
          <w:color w:val="111827"/>
          <w:sz w:val="22"/>
        </w:rPr>
        <w:t>Expired/cancelled mission cannot start.</w:t>
      </w:r>
    </w:p>
    <w:p>
      <w:pPr>
        <w:numPr>
          <w:ilvl w:val="0"/>
          <w:numId w:val="10"/>
        </w:numPr>
        <w:spacing w:after="80" w:line="300" w:lineRule="auto"/>
      </w:pPr>
      <w:r>
        <w:rPr>
          <w:rFonts w:ascii="Calibri" w:hAnsi="Calibri" w:eastAsia="Calibri"/>
          <w:color w:val="111827"/>
          <w:sz w:val="22"/>
        </w:rPr>
        <w:t>Coordinate, unit, schema and interface-version mismatch fails safely.</w:t>
      </w:r>
    </w:p>
    <w:p>
      <w:pPr>
        <w:numPr>
          <w:ilvl w:val="0"/>
          <w:numId w:val="10"/>
        </w:numPr>
        <w:spacing w:after="80" w:line="300" w:lineRule="auto"/>
      </w:pPr>
      <w:r>
        <w:rPr>
          <w:rFonts w:ascii="Calibri" w:hAnsi="Calibri" w:eastAsia="Calibri"/>
          <w:color w:val="111827"/>
          <w:sz w:val="22"/>
        </w:rPr>
        <w:t>RoboLink fault becomes a failed task with residual risk and possible re-alert.</w:t>
      </w:r>
    </w:p>
    <w:p>
      <w:pPr>
        <w:numPr>
          <w:ilvl w:val="0"/>
          <w:numId w:val="10"/>
        </w:numPr>
        <w:spacing w:after="80" w:line="300" w:lineRule="auto"/>
      </w:pPr>
      <w:r>
        <w:rPr>
          <w:rFonts w:ascii="Calibri" w:hAnsi="Calibri" w:eastAsia="Calibri"/>
          <w:color w:val="111827"/>
          <w:sz w:val="22"/>
        </w:rPr>
        <w:t>Mission result evidence updates the twin only after domain verification where required.</w:t>
      </w:r>
    </w:p>
    <w:p>
      <w:pPr>
        <w:pStyle w:val="Heading1"/>
      </w:pPr>
      <w:r>
        <w:t>16. Four-member team structure and execution governance</w:t>
      </w:r>
    </w:p>
    <w:p>
      <w:pPr>
        <w:pStyle w:val="Heading2"/>
      </w:pPr>
      <w:r>
        <w:t>16.1 Workstream ownership</w:t>
      </w:r>
    </w:p>
    <w:tbl>
      <w:tblPr>
        <w:tblStyle w:val="TableGrid"/>
        <w:tblW w:type="dxa" w:w="9360"/>
        <w:jc w:val="left"/>
        <w:tblLayout w:type="fixed"/>
        <w:tblLook w:firstColumn="1" w:firstRow="1" w:lastColumn="0" w:lastRow="0" w:noHBand="0" w:noVBand="1" w:val="04A0"/>
        <w:tblInd w:w="120" w:type="dxa"/>
      </w:tblPr>
      <w:tblGrid>
        <w:gridCol w:w="2400"/>
        <w:gridCol w:w="4500"/>
        <w:gridCol w:w="2460"/>
      </w:tblGrid>
      <w:tr>
        <w:trPr>
          <w:tblHeader w:val="true"/>
          <w:cantSplit/>
        </w:trPr>
        <w:tc>
          <w:tcPr>
            <w:tcW w:type="dxa" w:w="2400"/>
            <w:shd w:fill="E8EEF5"/>
            <w:vAlign w:val="center"/>
            <w:tcMar>
              <w:top w:w="80" w:type="dxa"/>
              <w:start w:w="120" w:type="dxa"/>
              <w:bottom w:w="80" w:type="dxa"/>
              <w:end w:w="120" w:type="dxa"/>
            </w:tcMar>
          </w:tcPr>
          <w:p>
            <w:pPr>
              <w:spacing w:after="0" w:line="252" w:lineRule="auto"/>
              <w:jc w:val="center"/>
            </w:pPr>
            <w:r>
              <w:rPr>
                <w:rFonts w:ascii="Calibri" w:hAnsi="Calibri" w:eastAsia="Calibri"/>
                <w:b/>
                <w:color w:val="0B2545"/>
                <w:sz w:val="16"/>
              </w:rPr>
              <w:t>Member / workstream</w:t>
            </w:r>
          </w:p>
        </w:tc>
        <w:tc>
          <w:tcPr>
            <w:tcW w:type="dxa" w:w="4500"/>
            <w:shd w:fill="E8EEF5"/>
            <w:vAlign w:val="center"/>
            <w:tcMar>
              <w:top w:w="80" w:type="dxa"/>
              <w:start w:w="120" w:type="dxa"/>
              <w:bottom w:w="80" w:type="dxa"/>
              <w:end w:w="120" w:type="dxa"/>
            </w:tcMar>
          </w:tcPr>
          <w:p>
            <w:pPr>
              <w:spacing w:after="0" w:line="252" w:lineRule="auto"/>
              <w:jc w:val="center"/>
            </w:pPr>
            <w:r>
              <w:rPr>
                <w:rFonts w:ascii="Calibri" w:hAnsi="Calibri" w:eastAsia="Calibri"/>
                <w:b/>
                <w:color w:val="0B2545"/>
                <w:sz w:val="16"/>
              </w:rPr>
              <w:t>Primary ownership</w:t>
            </w:r>
          </w:p>
        </w:tc>
        <w:tc>
          <w:tcPr>
            <w:tcW w:type="dxa" w:w="2460"/>
            <w:shd w:fill="E8EEF5"/>
            <w:vAlign w:val="center"/>
            <w:tcMar>
              <w:top w:w="80" w:type="dxa"/>
              <w:start w:w="120" w:type="dxa"/>
              <w:bottom w:w="80" w:type="dxa"/>
              <w:end w:w="120" w:type="dxa"/>
            </w:tcMar>
          </w:tcPr>
          <w:p>
            <w:pPr>
              <w:spacing w:after="0" w:line="252" w:lineRule="auto"/>
              <w:jc w:val="center"/>
            </w:pPr>
            <w:r>
              <w:rPr>
                <w:rFonts w:ascii="Calibri" w:hAnsi="Calibri" w:eastAsia="Calibri"/>
                <w:b/>
                <w:color w:val="0B2545"/>
                <w:sz w:val="16"/>
              </w:rPr>
              <w:t>Integration outputs</w:t>
            </w:r>
          </w:p>
        </w:tc>
      </w:tr>
      <w:tr>
        <w:trPr>
          <w:cantSplit/>
        </w:trPr>
        <w:tc>
          <w:tcPr>
            <w:tcW w:type="dxa" w:w="24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Member 1 - Soil, IoT &amp; Twin</w:t>
            </w:r>
          </w:p>
        </w:tc>
        <w:tc>
          <w:tcPr>
            <w:tcW w:type="dxa" w:w="45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Soil schema, sensors, calibration, ingestion, state estimator and treatment ledger</w:t>
            </w:r>
          </w:p>
        </w:tc>
        <w:tc>
          <w:tcPr>
            <w:tcW w:type="dxa" w:w="24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Quality-controlled observations and plot/soil twin APIs</w:t>
            </w:r>
          </w:p>
        </w:tc>
      </w:tr>
      <w:tr>
        <w:trPr>
          <w:cantSplit/>
        </w:trPr>
        <w:tc>
          <w:tcPr>
            <w:tcW w:type="dxa" w:w="24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Member 2 - Vision &amp; EO</w:t>
            </w:r>
          </w:p>
        </w:tc>
        <w:tc>
          <w:tcPr>
            <w:tcW w:type="dxa" w:w="45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Plant/stand/canopy/disease/weed models, image protocol, satellite and map processing</w:t>
            </w:r>
          </w:p>
        </w:tc>
        <w:tc>
          <w:tcPr>
            <w:tcW w:type="dxa" w:w="24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Geo-referenced observations, masks, counts and crop-state features</w:t>
            </w:r>
          </w:p>
        </w:tc>
      </w:tr>
      <w:tr>
        <w:trPr>
          <w:cantSplit/>
        </w:trPr>
        <w:tc>
          <w:tcPr>
            <w:tcW w:type="dxa" w:w="24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Member 3 - Forecast &amp; Decision</w:t>
            </w:r>
          </w:p>
        </w:tc>
        <w:tc>
          <w:tcPr>
            <w:tcW w:type="dxa" w:w="45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Weather, soil-water, stress, yield, 100-hour alerts, treatment analysis and uncertainty</w:t>
            </w:r>
          </w:p>
        </w:tc>
        <w:tc>
          <w:tcPr>
            <w:tcW w:type="dxa" w:w="24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Predictions, explanations, recommendations and evaluation</w:t>
            </w:r>
          </w:p>
        </w:tc>
      </w:tr>
      <w:tr>
        <w:trPr>
          <w:cantSplit/>
        </w:trPr>
        <w:tc>
          <w:tcPr>
            <w:tcW w:type="dxa" w:w="24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Member 4 - Platform, MLOps &amp; Interface</w:t>
            </w:r>
          </w:p>
        </w:tc>
        <w:tc>
          <w:tcPr>
            <w:tcW w:type="dxa" w:w="45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Backend, database, dashboard, auth, deployment, CI, model registry and MissionBridge</w:t>
            </w:r>
          </w:p>
        </w:tc>
        <w:tc>
          <w:tcPr>
            <w:tcW w:type="dxa" w:w="24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End-to-end product, contracts, releases and ROS2 mocks</w:t>
            </w:r>
          </w:p>
        </w:tc>
      </w:tr>
    </w:tbl>
    <w:p>
      <w:pPr>
        <w:keepNext w:val="0"/>
        <w:spacing w:before="0" w:after="40" w:line="300" w:lineRule="auto"/>
        <w:jc w:val="left"/>
      </w:pPr>
      <w:r>
        <w:rPr>
          <w:rFonts w:ascii="Calibri" w:hAnsi="Calibri" w:eastAsia="Calibri"/>
          <w:b w:val="0"/>
          <w:i w:val="0"/>
          <w:color w:val="111827"/>
          <w:sz w:val="22"/>
        </w:rPr>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E8EEF5"/>
            <w:tcBorders>
              <w:top w:val="nil"/>
              <w:left w:val="single" w:sz="12" w:space="0" w:color="2E74B5"/>
              <w:bottom w:val="nil"/>
              <w:right w:val="nil"/>
            </w:tcBorders>
          </w:tcPr>
          <w:p>
            <w:pPr>
              <w:spacing w:after="40" w:line="288" w:lineRule="auto"/>
            </w:pPr>
            <w:r>
              <w:rPr>
                <w:rFonts w:ascii="Calibri" w:hAnsi="Calibri" w:eastAsia="Calibri"/>
                <w:b/>
                <w:color w:val="2E74B5"/>
                <w:sz w:val="21"/>
              </w:rPr>
              <w:t xml:space="preserve">Team rule. </w:t>
            </w:r>
            <w:r>
              <w:rPr>
                <w:rFonts w:ascii="Calibri" w:hAnsi="Calibri" w:eastAsia="Calibri"/>
                <w:color w:val="111827"/>
                <w:sz w:val="21"/>
              </w:rPr>
              <w:t>Ownership is not isolation. Every interface has a producer and consumer reviewer; no member waits for another because all external inputs have fixtures, recorded replays or mocks.</w:t>
            </w:r>
          </w:p>
        </w:tc>
      </w:tr>
    </w:tbl>
    <w:p>
      <w:pPr>
        <w:keepNext w:val="0"/>
        <w:spacing w:before="0" w:after="40" w:line="300" w:lineRule="auto"/>
        <w:jc w:val="left"/>
      </w:pPr>
      <w:r>
        <w:rPr>
          <w:rFonts w:ascii="Calibri" w:hAnsi="Calibri" w:eastAsia="Calibri"/>
          <w:b w:val="0"/>
          <w:i w:val="0"/>
          <w:color w:val="111827"/>
          <w:sz w:val="22"/>
        </w:rPr>
      </w:r>
    </w:p>
    <w:p>
      <w:pPr>
        <w:pStyle w:val="Heading2"/>
      </w:pPr>
      <w:r>
        <w:t>16.2 Decision forums</w:t>
      </w:r>
    </w:p>
    <w:tbl>
      <w:tblPr>
        <w:tblStyle w:val="TableGrid"/>
        <w:tblW w:type="dxa" w:w="9360"/>
        <w:jc w:val="left"/>
        <w:tblLayout w:type="fixed"/>
        <w:tblLook w:firstColumn="1" w:firstRow="1" w:lastColumn="0" w:lastRow="0" w:noHBand="0" w:noVBand="1" w:val="04A0"/>
        <w:tblInd w:w="120" w:type="dxa"/>
      </w:tblPr>
      <w:tblGrid>
        <w:gridCol w:w="1500"/>
        <w:gridCol w:w="4000"/>
        <w:gridCol w:w="3860"/>
      </w:tblGrid>
      <w:tr>
        <w:trPr>
          <w:tblHeader w:val="true"/>
          <w:cantSplit/>
        </w:trPr>
        <w:tc>
          <w:tcPr>
            <w:tcW w:type="dxa" w:w="1500"/>
            <w:shd w:fill="E8EEF5"/>
            <w:vAlign w:val="center"/>
            <w:tcMar>
              <w:top w:w="80" w:type="dxa"/>
              <w:start w:w="120" w:type="dxa"/>
              <w:bottom w:w="80" w:type="dxa"/>
              <w:end w:w="120" w:type="dxa"/>
            </w:tcMar>
          </w:tcPr>
          <w:p>
            <w:pPr>
              <w:spacing w:after="0" w:line="252" w:lineRule="auto"/>
              <w:jc w:val="center"/>
            </w:pPr>
            <w:r>
              <w:rPr>
                <w:rFonts w:ascii="Calibri" w:hAnsi="Calibri" w:eastAsia="Calibri"/>
                <w:b/>
                <w:color w:val="0B2545"/>
                <w:sz w:val="17"/>
              </w:rPr>
              <w:t>Cadence</w:t>
            </w:r>
          </w:p>
        </w:tc>
        <w:tc>
          <w:tcPr>
            <w:tcW w:type="dxa" w:w="4000"/>
            <w:shd w:fill="E8EEF5"/>
            <w:vAlign w:val="center"/>
            <w:tcMar>
              <w:top w:w="80" w:type="dxa"/>
              <w:start w:w="120" w:type="dxa"/>
              <w:bottom w:w="80" w:type="dxa"/>
              <w:end w:w="120" w:type="dxa"/>
            </w:tcMar>
          </w:tcPr>
          <w:p>
            <w:pPr>
              <w:spacing w:after="0" w:line="252" w:lineRule="auto"/>
              <w:jc w:val="center"/>
            </w:pPr>
            <w:r>
              <w:rPr>
                <w:rFonts w:ascii="Calibri" w:hAnsi="Calibri" w:eastAsia="Calibri"/>
                <w:b/>
                <w:color w:val="0B2545"/>
                <w:sz w:val="17"/>
              </w:rPr>
              <w:t>Forum</w:t>
            </w:r>
          </w:p>
        </w:tc>
        <w:tc>
          <w:tcPr>
            <w:tcW w:type="dxa" w:w="3860"/>
            <w:shd w:fill="E8EEF5"/>
            <w:vAlign w:val="center"/>
            <w:tcMar>
              <w:top w:w="80" w:type="dxa"/>
              <w:start w:w="120" w:type="dxa"/>
              <w:bottom w:w="80" w:type="dxa"/>
              <w:end w:w="120" w:type="dxa"/>
            </w:tcMar>
          </w:tcPr>
          <w:p>
            <w:pPr>
              <w:spacing w:after="0" w:line="252" w:lineRule="auto"/>
              <w:jc w:val="center"/>
            </w:pPr>
            <w:r>
              <w:rPr>
                <w:rFonts w:ascii="Calibri" w:hAnsi="Calibri" w:eastAsia="Calibri"/>
                <w:b/>
                <w:color w:val="0B2545"/>
                <w:sz w:val="17"/>
              </w:rPr>
              <w:t>Output</w:t>
            </w:r>
          </w:p>
        </w:tc>
      </w:tr>
      <w:tr>
        <w:trPr>
          <w:cantSplit/>
        </w:trPr>
        <w:tc>
          <w:tcPr>
            <w:tcW w:type="dxa" w:w="15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Daily, 15 min</w:t>
            </w:r>
          </w:p>
        </w:tc>
        <w:tc>
          <w:tcPr>
            <w:tcW w:type="dxa" w:w="40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Blockers and interface change check</w:t>
            </w:r>
          </w:p>
        </w:tc>
        <w:tc>
          <w:tcPr>
            <w:tcW w:type="dxa" w:w="38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Updated task board; no design debate</w:t>
            </w:r>
          </w:p>
        </w:tc>
      </w:tr>
      <w:tr>
        <w:trPr>
          <w:cantSplit/>
        </w:trPr>
        <w:tc>
          <w:tcPr>
            <w:tcW w:type="dxa" w:w="15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Twice weekly</w:t>
            </w:r>
          </w:p>
        </w:tc>
        <w:tc>
          <w:tcPr>
            <w:tcW w:type="dxa" w:w="40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Integration demo on develop</w:t>
            </w:r>
          </w:p>
        </w:tc>
        <w:tc>
          <w:tcPr>
            <w:tcW w:type="dxa" w:w="38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Running vertical slice and defects</w:t>
            </w:r>
          </w:p>
        </w:tc>
      </w:tr>
      <w:tr>
        <w:trPr>
          <w:cantSplit/>
        </w:trPr>
        <w:tc>
          <w:tcPr>
            <w:tcW w:type="dxa" w:w="15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Weekly</w:t>
            </w:r>
          </w:p>
        </w:tc>
        <w:tc>
          <w:tcPr>
            <w:tcW w:type="dxa" w:w="40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Field/data/model review</w:t>
            </w:r>
          </w:p>
        </w:tc>
        <w:tc>
          <w:tcPr>
            <w:tcW w:type="dxa" w:w="38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Data quality, metrics, risks and next experiment</w:t>
            </w:r>
          </w:p>
        </w:tc>
      </w:tr>
      <w:tr>
        <w:trPr>
          <w:cantSplit/>
        </w:trPr>
        <w:tc>
          <w:tcPr>
            <w:tcW w:type="dxa" w:w="15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Fortnightly</w:t>
            </w:r>
          </w:p>
        </w:tc>
        <w:tc>
          <w:tcPr>
            <w:tcW w:type="dxa" w:w="40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Architecture and domain gate</w:t>
            </w:r>
          </w:p>
        </w:tc>
        <w:tc>
          <w:tcPr>
            <w:tcW w:type="dxa" w:w="38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Approved ADR/schema/model or agronomic change</w:t>
            </w:r>
          </w:p>
        </w:tc>
      </w:tr>
      <w:tr>
        <w:trPr>
          <w:cantSplit/>
        </w:trPr>
        <w:tc>
          <w:tcPr>
            <w:tcW w:type="dxa" w:w="15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Milestone</w:t>
            </w:r>
          </w:p>
        </w:tc>
        <w:tc>
          <w:tcPr>
            <w:tcW w:type="dxa" w:w="40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Release review</w:t>
            </w:r>
          </w:p>
        </w:tc>
        <w:tc>
          <w:tcPr>
            <w:tcW w:type="dxa" w:w="38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Evidence pack and develop -&gt; main decision</w:t>
            </w:r>
          </w:p>
        </w:tc>
      </w:tr>
    </w:tbl>
    <w:p>
      <w:pPr>
        <w:keepNext w:val="0"/>
        <w:spacing w:before="0" w:after="40" w:line="300" w:lineRule="auto"/>
        <w:jc w:val="left"/>
      </w:pPr>
      <w:r>
        <w:rPr>
          <w:rFonts w:ascii="Calibri" w:hAnsi="Calibri" w:eastAsia="Calibri"/>
          <w:b w:val="0"/>
          <w:i w:val="0"/>
          <w:color w:val="111827"/>
          <w:sz w:val="22"/>
        </w:rPr>
      </w:r>
    </w:p>
    <w:p>
      <w:pPr>
        <w:pStyle w:val="Heading2"/>
      </w:pPr>
      <w:r>
        <w:t>16.3 Definition of done</w:t>
      </w:r>
    </w:p>
    <w:p>
      <w:pPr>
        <w:numPr>
          <w:ilvl w:val="0"/>
          <w:numId w:val="10"/>
        </w:numPr>
        <w:spacing w:after="80" w:line="300" w:lineRule="auto"/>
      </w:pPr>
      <w:r>
        <w:rPr>
          <w:rFonts w:ascii="Calibri" w:hAnsi="Calibri" w:eastAsia="Calibri"/>
          <w:color w:val="111827"/>
          <w:sz w:val="22"/>
        </w:rPr>
        <w:t>Code reviewed, typed/linted where applicable and covered by tests.</w:t>
      </w:r>
    </w:p>
    <w:p>
      <w:pPr>
        <w:numPr>
          <w:ilvl w:val="0"/>
          <w:numId w:val="10"/>
        </w:numPr>
        <w:spacing w:after="80" w:line="300" w:lineRule="auto"/>
      </w:pPr>
      <w:r>
        <w:rPr>
          <w:rFonts w:ascii="Calibri" w:hAnsi="Calibri" w:eastAsia="Calibri"/>
          <w:color w:val="111827"/>
          <w:sz w:val="22"/>
        </w:rPr>
        <w:t>Schema/API change is versioned and contract tests pass.</w:t>
      </w:r>
    </w:p>
    <w:p>
      <w:pPr>
        <w:numPr>
          <w:ilvl w:val="0"/>
          <w:numId w:val="10"/>
        </w:numPr>
        <w:spacing w:after="80" w:line="300" w:lineRule="auto"/>
      </w:pPr>
      <w:r>
        <w:rPr>
          <w:rFonts w:ascii="Calibri" w:hAnsi="Calibri" w:eastAsia="Calibri"/>
          <w:color w:val="111827"/>
          <w:sz w:val="22"/>
        </w:rPr>
        <w:t>Data/model card and licence/provenance are updated.</w:t>
      </w:r>
    </w:p>
    <w:p>
      <w:pPr>
        <w:numPr>
          <w:ilvl w:val="0"/>
          <w:numId w:val="10"/>
        </w:numPr>
        <w:spacing w:after="80" w:line="300" w:lineRule="auto"/>
      </w:pPr>
      <w:r>
        <w:rPr>
          <w:rFonts w:ascii="Calibri" w:hAnsi="Calibri" w:eastAsia="Calibri"/>
          <w:color w:val="111827"/>
          <w:sz w:val="22"/>
        </w:rPr>
        <w:t>Metric is compared with a declared baseline using leakage-safe split.</w:t>
      </w:r>
    </w:p>
    <w:p>
      <w:pPr>
        <w:numPr>
          <w:ilvl w:val="0"/>
          <w:numId w:val="10"/>
        </w:numPr>
        <w:spacing w:after="80" w:line="300" w:lineRule="auto"/>
      </w:pPr>
      <w:r>
        <w:rPr>
          <w:rFonts w:ascii="Calibri" w:hAnsi="Calibri" w:eastAsia="Calibri"/>
          <w:color w:val="111827"/>
          <w:sz w:val="22"/>
        </w:rPr>
        <w:t>Feature works in an end-to-end replay or field demo, not only in a notebook.</w:t>
      </w:r>
    </w:p>
    <w:p>
      <w:pPr>
        <w:numPr>
          <w:ilvl w:val="0"/>
          <w:numId w:val="10"/>
        </w:numPr>
        <w:spacing w:after="80" w:line="300" w:lineRule="auto"/>
      </w:pPr>
      <w:r>
        <w:rPr>
          <w:rFonts w:ascii="Calibri" w:hAnsi="Calibri" w:eastAsia="Calibri"/>
          <w:color w:val="111827"/>
          <w:sz w:val="22"/>
        </w:rPr>
        <w:t>Dashboard and logs expose uncertainty, failure and manual fallback.</w:t>
      </w:r>
    </w:p>
    <w:p>
      <w:pPr>
        <w:pStyle w:val="Heading1"/>
      </w:pPr>
      <w:r>
        <w:t>17. Twenty-four-week roadmap, milestones and acceptance gates</w:t>
      </w:r>
    </w:p>
    <w:p>
      <w:pPr>
        <w:pStyle w:val="Heading2"/>
      </w:pPr>
      <w:r>
        <w:t>17.1 Delivery roadmap</w:t>
      </w:r>
    </w:p>
    <w:tbl>
      <w:tblPr>
        <w:tblStyle w:val="TableGrid"/>
        <w:tblW w:type="dxa" w:w="9360"/>
        <w:jc w:val="left"/>
        <w:tblLayout w:type="fixed"/>
        <w:tblLook w:firstColumn="1" w:firstRow="1" w:lastColumn="0" w:lastRow="0" w:noHBand="0" w:noVBand="1" w:val="04A0"/>
        <w:tblInd w:w="120" w:type="dxa"/>
      </w:tblPr>
      <w:tblGrid>
        <w:gridCol w:w="900"/>
        <w:gridCol w:w="1800"/>
        <w:gridCol w:w="4700"/>
        <w:gridCol w:w="1960"/>
      </w:tblGrid>
      <w:tr>
        <w:trPr>
          <w:tblHeader w:val="true"/>
          <w:cantSplit/>
        </w:trPr>
        <w:tc>
          <w:tcPr>
            <w:tcW w:type="dxa" w:w="900"/>
            <w:shd w:fill="E8EEF5"/>
            <w:vAlign w:val="center"/>
            <w:tcMar>
              <w:top w:w="80" w:type="dxa"/>
              <w:start w:w="120" w:type="dxa"/>
              <w:bottom w:w="80" w:type="dxa"/>
              <w:end w:w="120" w:type="dxa"/>
            </w:tcMar>
          </w:tcPr>
          <w:p>
            <w:pPr>
              <w:spacing w:after="0" w:line="252" w:lineRule="auto"/>
              <w:jc w:val="center"/>
            </w:pPr>
            <w:r>
              <w:rPr>
                <w:rFonts w:ascii="Calibri" w:hAnsi="Calibri" w:eastAsia="Calibri"/>
                <w:b/>
                <w:color w:val="0B2545"/>
                <w:sz w:val="15"/>
              </w:rPr>
              <w:t>Weeks</w:t>
            </w:r>
          </w:p>
        </w:tc>
        <w:tc>
          <w:tcPr>
            <w:tcW w:type="dxa" w:w="1800"/>
            <w:shd w:fill="E8EEF5"/>
            <w:vAlign w:val="center"/>
            <w:tcMar>
              <w:top w:w="80" w:type="dxa"/>
              <w:start w:w="120" w:type="dxa"/>
              <w:bottom w:w="80" w:type="dxa"/>
              <w:end w:w="120" w:type="dxa"/>
            </w:tcMar>
          </w:tcPr>
          <w:p>
            <w:pPr>
              <w:spacing w:after="0" w:line="252" w:lineRule="auto"/>
              <w:jc w:val="center"/>
            </w:pPr>
            <w:r>
              <w:rPr>
                <w:rFonts w:ascii="Calibri" w:hAnsi="Calibri" w:eastAsia="Calibri"/>
                <w:b/>
                <w:color w:val="0B2545"/>
                <w:sz w:val="15"/>
              </w:rPr>
              <w:t>Milestone</w:t>
            </w:r>
          </w:p>
        </w:tc>
        <w:tc>
          <w:tcPr>
            <w:tcW w:type="dxa" w:w="4700"/>
            <w:shd w:fill="E8EEF5"/>
            <w:vAlign w:val="center"/>
            <w:tcMar>
              <w:top w:w="80" w:type="dxa"/>
              <w:start w:w="120" w:type="dxa"/>
              <w:bottom w:w="80" w:type="dxa"/>
              <w:end w:w="120" w:type="dxa"/>
            </w:tcMar>
          </w:tcPr>
          <w:p>
            <w:pPr>
              <w:spacing w:after="0" w:line="252" w:lineRule="auto"/>
              <w:jc w:val="center"/>
            </w:pPr>
            <w:r>
              <w:rPr>
                <w:rFonts w:ascii="Calibri" w:hAnsi="Calibri" w:eastAsia="Calibri"/>
                <w:b/>
                <w:color w:val="0B2545"/>
                <w:sz w:val="15"/>
              </w:rPr>
              <w:t>Team outputs</w:t>
            </w:r>
          </w:p>
        </w:tc>
        <w:tc>
          <w:tcPr>
            <w:tcW w:type="dxa" w:w="1960"/>
            <w:shd w:fill="E8EEF5"/>
            <w:vAlign w:val="center"/>
            <w:tcMar>
              <w:top w:w="80" w:type="dxa"/>
              <w:start w:w="120" w:type="dxa"/>
              <w:bottom w:w="80" w:type="dxa"/>
              <w:end w:w="120" w:type="dxa"/>
            </w:tcMar>
          </w:tcPr>
          <w:p>
            <w:pPr>
              <w:spacing w:after="0" w:line="252" w:lineRule="auto"/>
              <w:jc w:val="center"/>
            </w:pPr>
            <w:r>
              <w:rPr>
                <w:rFonts w:ascii="Calibri" w:hAnsi="Calibri" w:eastAsia="Calibri"/>
                <w:b/>
                <w:color w:val="0B2545"/>
                <w:sz w:val="15"/>
              </w:rPr>
              <w:t>Gate</w:t>
            </w:r>
          </w:p>
        </w:tc>
      </w:tr>
      <w:tr>
        <w:trPr>
          <w:cantSplit/>
        </w:trPr>
        <w:tc>
          <w:tcPr>
            <w:tcW w:type="dxa" w:w="9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5"/>
              </w:rPr>
              <w:t>1-2</w:t>
            </w:r>
          </w:p>
        </w:tc>
        <w:tc>
          <w:tcPr>
            <w:tcW w:type="dxa" w:w="18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5"/>
              </w:rPr>
              <w:t>Charter and contracts</w:t>
            </w:r>
          </w:p>
        </w:tc>
        <w:tc>
          <w:tcPr>
            <w:tcW w:type="dxa" w:w="47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5"/>
              </w:rPr>
              <w:t>Crop/pilot choice, scope, repo, entity schema, field/trial protocol, licence register</w:t>
            </w:r>
          </w:p>
        </w:tc>
        <w:tc>
          <w:tcPr>
            <w:tcW w:type="dxa" w:w="19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5"/>
              </w:rPr>
              <w:t>Signed charter; synthetic schema round-trip</w:t>
            </w:r>
          </w:p>
        </w:tc>
      </w:tr>
      <w:tr>
        <w:trPr>
          <w:cantSplit/>
        </w:trPr>
        <w:tc>
          <w:tcPr>
            <w:tcW w:type="dxa" w:w="9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5"/>
              </w:rPr>
              <w:t>3-5</w:t>
            </w:r>
          </w:p>
        </w:tc>
        <w:tc>
          <w:tcPr>
            <w:tcW w:type="dxa" w:w="18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5"/>
              </w:rPr>
              <w:t>Twin skeleton</w:t>
            </w:r>
          </w:p>
        </w:tc>
        <w:tc>
          <w:tcPr>
            <w:tcW w:type="dxa" w:w="47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5"/>
              </w:rPr>
              <w:t>Farm/field/plot/crop/treatment/task APIs, map, event replay and synthetic data</w:t>
            </w:r>
          </w:p>
        </w:tc>
        <w:tc>
          <w:tcPr>
            <w:tcW w:type="dxa" w:w="19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5"/>
              </w:rPr>
              <w:t>Register -&gt; observe -&gt; twin -&gt; task demo</w:t>
            </w:r>
          </w:p>
        </w:tc>
      </w:tr>
      <w:tr>
        <w:trPr>
          <w:cantSplit/>
        </w:trPr>
        <w:tc>
          <w:tcPr>
            <w:tcW w:type="dxa" w:w="9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5"/>
              </w:rPr>
              <w:t>6-8</w:t>
            </w:r>
          </w:p>
        </w:tc>
        <w:tc>
          <w:tcPr>
            <w:tcW w:type="dxa" w:w="18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5"/>
              </w:rPr>
              <w:t>Ingestion and field readiness</w:t>
            </w:r>
          </w:p>
        </w:tc>
        <w:tc>
          <w:tcPr>
            <w:tcW w:type="dxa" w:w="47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5"/>
              </w:rPr>
              <w:t>IoT/weather/imagery adapters, quality rules, calibration and sensor simulator</w:t>
            </w:r>
          </w:p>
        </w:tc>
        <w:tc>
          <w:tcPr>
            <w:tcW w:type="dxa" w:w="19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5"/>
              </w:rPr>
              <w:t>72-hour replay with faults and recovery</w:t>
            </w:r>
          </w:p>
        </w:tc>
      </w:tr>
      <w:tr>
        <w:trPr>
          <w:cantSplit/>
        </w:trPr>
        <w:tc>
          <w:tcPr>
            <w:tcW w:type="dxa" w:w="9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5"/>
              </w:rPr>
              <w:t>9-11</w:t>
            </w:r>
          </w:p>
        </w:tc>
        <w:tc>
          <w:tcPr>
            <w:tcW w:type="dxa" w:w="18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5"/>
              </w:rPr>
              <w:t>Baseline intelligence</w:t>
            </w:r>
          </w:p>
        </w:tc>
        <w:tc>
          <w:tcPr>
            <w:tcW w:type="dxa" w:w="47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5"/>
              </w:rPr>
              <w:t>Soil-water, crop vision, phenology and yield baselines</w:t>
            </w:r>
          </w:p>
        </w:tc>
        <w:tc>
          <w:tcPr>
            <w:tcW w:type="dxa" w:w="19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5"/>
              </w:rPr>
              <w:t>Every model beats or explains failure vs naive baseline</w:t>
            </w:r>
          </w:p>
        </w:tc>
      </w:tr>
      <w:tr>
        <w:trPr>
          <w:cantSplit/>
        </w:trPr>
        <w:tc>
          <w:tcPr>
            <w:tcW w:type="dxa" w:w="9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5"/>
              </w:rPr>
              <w:t>12-14</w:t>
            </w:r>
          </w:p>
        </w:tc>
        <w:tc>
          <w:tcPr>
            <w:tcW w:type="dxa" w:w="18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5"/>
              </w:rPr>
              <w:t>100-hour command</w:t>
            </w:r>
          </w:p>
        </w:tc>
        <w:tc>
          <w:tcPr>
            <w:tcW w:type="dxa" w:w="47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5"/>
              </w:rPr>
              <w:t>Forecast fusion, alert payload, task queue, dashboard and uncertainty</w:t>
            </w:r>
          </w:p>
        </w:tc>
        <w:tc>
          <w:tcPr>
            <w:tcW w:type="dxa" w:w="19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5"/>
              </w:rPr>
              <w:t>Scenario replay generates traceable expiring alerts</w:t>
            </w:r>
          </w:p>
        </w:tc>
      </w:tr>
      <w:tr>
        <w:trPr>
          <w:cantSplit/>
        </w:trPr>
        <w:tc>
          <w:tcPr>
            <w:tcW w:type="dxa" w:w="9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5"/>
              </w:rPr>
              <w:t>15-17</w:t>
            </w:r>
          </w:p>
        </w:tc>
        <w:tc>
          <w:tcPr>
            <w:tcW w:type="dxa" w:w="18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5"/>
              </w:rPr>
              <w:t>Treatment pilot</w:t>
            </w:r>
          </w:p>
        </w:tc>
        <w:tc>
          <w:tcPr>
            <w:tcW w:type="dxa" w:w="47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5"/>
              </w:rPr>
              <w:t>Control/treatment data, response analysis and Soil360 comparison</w:t>
            </w:r>
          </w:p>
        </w:tc>
        <w:tc>
          <w:tcPr>
            <w:tcW w:type="dxa" w:w="19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5"/>
              </w:rPr>
              <w:t>Trial metadata complete; no treatment leakage</w:t>
            </w:r>
          </w:p>
        </w:tc>
      </w:tr>
      <w:tr>
        <w:trPr>
          <w:cantSplit/>
        </w:trPr>
        <w:tc>
          <w:tcPr>
            <w:tcW w:type="dxa" w:w="9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5"/>
              </w:rPr>
              <w:t>18-20</w:t>
            </w:r>
          </w:p>
        </w:tc>
        <w:tc>
          <w:tcPr>
            <w:tcW w:type="dxa" w:w="18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5"/>
              </w:rPr>
              <w:t>Integrated field release</w:t>
            </w:r>
          </w:p>
        </w:tc>
        <w:tc>
          <w:tcPr>
            <w:tcW w:type="dxa" w:w="47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5"/>
              </w:rPr>
              <w:t>End-to-end live/replay workflow, offline buffer, reports and monitoring</w:t>
            </w:r>
          </w:p>
        </w:tc>
        <w:tc>
          <w:tcPr>
            <w:tcW w:type="dxa" w:w="19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5"/>
              </w:rPr>
              <w:t>Two-week pilot or equivalent replay evidence</w:t>
            </w:r>
          </w:p>
        </w:tc>
      </w:tr>
      <w:tr>
        <w:trPr>
          <w:cantSplit/>
        </w:trPr>
        <w:tc>
          <w:tcPr>
            <w:tcW w:type="dxa" w:w="9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5"/>
              </w:rPr>
              <w:t>21-22</w:t>
            </w:r>
          </w:p>
        </w:tc>
        <w:tc>
          <w:tcPr>
            <w:tcW w:type="dxa" w:w="18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5"/>
              </w:rPr>
              <w:t>Mission docking</w:t>
            </w:r>
          </w:p>
        </w:tc>
        <w:tc>
          <w:tcPr>
            <w:tcW w:type="dxa" w:w="47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5"/>
              </w:rPr>
              <w:t>ROS2 adapter, simulator, idempotency, cancellation and fault tests</w:t>
            </w:r>
          </w:p>
        </w:tc>
        <w:tc>
          <w:tcPr>
            <w:tcW w:type="dxa" w:w="19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5"/>
              </w:rPr>
              <w:t>Mock mission contract passes without robot dependency</w:t>
            </w:r>
          </w:p>
        </w:tc>
      </w:tr>
      <w:tr>
        <w:trPr>
          <w:cantSplit/>
        </w:trPr>
        <w:tc>
          <w:tcPr>
            <w:tcW w:type="dxa" w:w="9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5"/>
              </w:rPr>
              <w:t>23-24</w:t>
            </w:r>
          </w:p>
        </w:tc>
        <w:tc>
          <w:tcPr>
            <w:tcW w:type="dxa" w:w="18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5"/>
              </w:rPr>
              <w:t>Release and research pack</w:t>
            </w:r>
          </w:p>
        </w:tc>
        <w:tc>
          <w:tcPr>
            <w:tcW w:type="dxa" w:w="47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5"/>
              </w:rPr>
              <w:t>v1.0, dataset/model cards, metrics, paper outline, demo and handover</w:t>
            </w:r>
          </w:p>
        </w:tc>
        <w:tc>
          <w:tcPr>
            <w:tcW w:type="dxa" w:w="19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5"/>
              </w:rPr>
              <w:t>Develop -&gt; main; tagged release and evidence pack</w:t>
            </w:r>
          </w:p>
        </w:tc>
      </w:tr>
    </w:tbl>
    <w:p>
      <w:pPr>
        <w:keepNext w:val="0"/>
        <w:spacing w:before="0" w:after="40" w:line="300" w:lineRule="auto"/>
        <w:jc w:val="left"/>
      </w:pPr>
      <w:r>
        <w:rPr>
          <w:rFonts w:ascii="Calibri" w:hAnsi="Calibri" w:eastAsia="Calibri"/>
          <w:b w:val="0"/>
          <w:i w:val="0"/>
          <w:color w:val="111827"/>
          <w:sz w:val="22"/>
        </w:rPr>
      </w:r>
    </w:p>
    <w:p>
      <w:pPr>
        <w:pStyle w:val="Heading2"/>
      </w:pPr>
      <w:r>
        <w:t>17.2 Acceptance gates</w:t>
      </w:r>
    </w:p>
    <w:tbl>
      <w:tblPr>
        <w:tblStyle w:val="TableGrid"/>
        <w:tblW w:type="dxa" w:w="9360"/>
        <w:jc w:val="left"/>
        <w:tblLayout w:type="fixed"/>
        <w:tblLook w:firstColumn="1" w:firstRow="1" w:lastColumn="0" w:lastRow="0" w:noHBand="0" w:noVBand="1" w:val="04A0"/>
        <w:tblInd w:w="120" w:type="dxa"/>
      </w:tblPr>
      <w:tblGrid>
        <w:gridCol w:w="1600"/>
        <w:gridCol w:w="7760"/>
      </w:tblGrid>
      <w:tr>
        <w:trPr>
          <w:tblHeader w:val="true"/>
          <w:cantSplit/>
        </w:trPr>
        <w:tc>
          <w:tcPr>
            <w:tcW w:type="dxa" w:w="1600"/>
            <w:shd w:fill="E8EEF5"/>
            <w:vAlign w:val="center"/>
            <w:tcMar>
              <w:top w:w="80" w:type="dxa"/>
              <w:start w:w="120" w:type="dxa"/>
              <w:bottom w:w="80" w:type="dxa"/>
              <w:end w:w="120" w:type="dxa"/>
            </w:tcMar>
          </w:tcPr>
          <w:p>
            <w:pPr>
              <w:spacing w:after="0" w:line="252" w:lineRule="auto"/>
              <w:jc w:val="center"/>
            </w:pPr>
            <w:r>
              <w:rPr>
                <w:rFonts w:ascii="Calibri" w:hAnsi="Calibri" w:eastAsia="Calibri"/>
                <w:b/>
                <w:color w:val="0B2545"/>
                <w:sz w:val="17"/>
              </w:rPr>
              <w:t>Gate</w:t>
            </w:r>
          </w:p>
        </w:tc>
        <w:tc>
          <w:tcPr>
            <w:tcW w:type="dxa" w:w="7760"/>
            <w:shd w:fill="E8EEF5"/>
            <w:vAlign w:val="center"/>
            <w:tcMar>
              <w:top w:w="80" w:type="dxa"/>
              <w:start w:w="120" w:type="dxa"/>
              <w:bottom w:w="80" w:type="dxa"/>
              <w:end w:w="120" w:type="dxa"/>
            </w:tcMar>
          </w:tcPr>
          <w:p>
            <w:pPr>
              <w:spacing w:after="0" w:line="252" w:lineRule="auto"/>
              <w:jc w:val="center"/>
            </w:pPr>
            <w:r>
              <w:rPr>
                <w:rFonts w:ascii="Calibri" w:hAnsi="Calibri" w:eastAsia="Calibri"/>
                <w:b/>
                <w:color w:val="0B2545"/>
                <w:sz w:val="17"/>
              </w:rPr>
              <w:t>Pass condition</w:t>
            </w:r>
          </w:p>
        </w:tc>
      </w:tr>
      <w:tr>
        <w:trPr>
          <w:cantSplit/>
        </w:trPr>
        <w:tc>
          <w:tcPr>
            <w:tcW w:type="dxa" w:w="1600"/>
            <w:vAlign w:val="center"/>
            <w:tcMar>
              <w:top w:w="80" w:type="dxa"/>
              <w:start w:w="120" w:type="dxa"/>
              <w:bottom w:w="80" w:type="dxa"/>
              <w:end w:w="120" w:type="dxa"/>
            </w:tcMar>
          </w:tcPr>
          <w:p>
            <w:pPr>
              <w:spacing w:after="0" w:line="259" w:lineRule="auto"/>
              <w:jc w:val="left"/>
            </w:pPr>
            <w:r>
              <w:rPr>
                <w:rFonts w:ascii="Calibri" w:hAnsi="Calibri" w:eastAsia="Calibri"/>
                <w:b/>
                <w:color w:val="111827"/>
                <w:sz w:val="17"/>
              </w:rPr>
              <w:t>G1 Scope</w:t>
            </w:r>
          </w:p>
        </w:tc>
        <w:tc>
          <w:tcPr>
            <w:tcW w:type="dxa" w:w="77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One flagship crop and pilot farm/trial defined; owners and out-of-scope signed</w:t>
            </w:r>
          </w:p>
        </w:tc>
      </w:tr>
      <w:tr>
        <w:trPr>
          <w:cantSplit/>
        </w:trPr>
        <w:tc>
          <w:tcPr>
            <w:tcW w:type="dxa" w:w="1600"/>
            <w:vAlign w:val="center"/>
            <w:tcMar>
              <w:top w:w="80" w:type="dxa"/>
              <w:start w:w="120" w:type="dxa"/>
              <w:bottom w:w="80" w:type="dxa"/>
              <w:end w:w="120" w:type="dxa"/>
            </w:tcMar>
          </w:tcPr>
          <w:p>
            <w:pPr>
              <w:spacing w:after="0" w:line="259" w:lineRule="auto"/>
              <w:jc w:val="left"/>
            </w:pPr>
            <w:r>
              <w:rPr>
                <w:rFonts w:ascii="Calibri" w:hAnsi="Calibri" w:eastAsia="Calibri"/>
                <w:b/>
                <w:color w:val="111827"/>
                <w:sz w:val="17"/>
              </w:rPr>
              <w:t>G2 Data</w:t>
            </w:r>
          </w:p>
        </w:tc>
        <w:tc>
          <w:tcPr>
            <w:tcW w:type="dxa" w:w="77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Stable IDs/units/timestamps; calibration and quality flags; split manifest and licence register</w:t>
            </w:r>
          </w:p>
        </w:tc>
      </w:tr>
      <w:tr>
        <w:trPr>
          <w:cantSplit/>
        </w:trPr>
        <w:tc>
          <w:tcPr>
            <w:tcW w:type="dxa" w:w="1600"/>
            <w:vAlign w:val="center"/>
            <w:tcMar>
              <w:top w:w="80" w:type="dxa"/>
              <w:start w:w="120" w:type="dxa"/>
              <w:bottom w:w="80" w:type="dxa"/>
              <w:end w:w="120" w:type="dxa"/>
            </w:tcMar>
          </w:tcPr>
          <w:p>
            <w:pPr>
              <w:spacing w:after="0" w:line="259" w:lineRule="auto"/>
              <w:jc w:val="left"/>
            </w:pPr>
            <w:r>
              <w:rPr>
                <w:rFonts w:ascii="Calibri" w:hAnsi="Calibri" w:eastAsia="Calibri"/>
                <w:b/>
                <w:color w:val="111827"/>
                <w:sz w:val="17"/>
              </w:rPr>
              <w:t>G3 Twin</w:t>
            </w:r>
          </w:p>
        </w:tc>
        <w:tc>
          <w:tcPr>
            <w:tcW w:type="dxa" w:w="77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Event replay reproduces current state; every prediction/task traces to inputs and version</w:t>
            </w:r>
          </w:p>
        </w:tc>
      </w:tr>
      <w:tr>
        <w:trPr>
          <w:cantSplit/>
        </w:trPr>
        <w:tc>
          <w:tcPr>
            <w:tcW w:type="dxa" w:w="1600"/>
            <w:vAlign w:val="center"/>
            <w:tcMar>
              <w:top w:w="80" w:type="dxa"/>
              <w:start w:w="120" w:type="dxa"/>
              <w:bottom w:w="80" w:type="dxa"/>
              <w:end w:w="120" w:type="dxa"/>
            </w:tcMar>
          </w:tcPr>
          <w:p>
            <w:pPr>
              <w:spacing w:after="0" w:line="259" w:lineRule="auto"/>
              <w:jc w:val="left"/>
            </w:pPr>
            <w:r>
              <w:rPr>
                <w:rFonts w:ascii="Calibri" w:hAnsi="Calibri" w:eastAsia="Calibri"/>
                <w:b/>
                <w:color w:val="111827"/>
                <w:sz w:val="17"/>
              </w:rPr>
              <w:t>G4 Models</w:t>
            </w:r>
          </w:p>
        </w:tc>
        <w:tc>
          <w:tcPr>
            <w:tcW w:type="dxa" w:w="77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Leakage-safe metrics against naive/physics baseline; uncertainty and limitations reported</w:t>
            </w:r>
          </w:p>
        </w:tc>
      </w:tr>
      <w:tr>
        <w:trPr>
          <w:cantSplit/>
        </w:trPr>
        <w:tc>
          <w:tcPr>
            <w:tcW w:type="dxa" w:w="1600"/>
            <w:vAlign w:val="center"/>
            <w:tcMar>
              <w:top w:w="80" w:type="dxa"/>
              <w:start w:w="120" w:type="dxa"/>
              <w:bottom w:w="80" w:type="dxa"/>
              <w:end w:w="120" w:type="dxa"/>
            </w:tcMar>
          </w:tcPr>
          <w:p>
            <w:pPr>
              <w:spacing w:after="0" w:line="259" w:lineRule="auto"/>
              <w:jc w:val="left"/>
            </w:pPr>
            <w:r>
              <w:rPr>
                <w:rFonts w:ascii="Calibri" w:hAnsi="Calibri" w:eastAsia="Calibri"/>
                <w:b/>
                <w:color w:val="111827"/>
                <w:sz w:val="17"/>
              </w:rPr>
              <w:t>G5 Alerts</w:t>
            </w:r>
          </w:p>
        </w:tc>
        <w:tc>
          <w:tcPr>
            <w:tcW w:type="dxa" w:w="77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Lead time, precision/recall, false alerts per plot-week and horizon calibration reported</w:t>
            </w:r>
          </w:p>
        </w:tc>
      </w:tr>
      <w:tr>
        <w:trPr>
          <w:cantSplit/>
        </w:trPr>
        <w:tc>
          <w:tcPr>
            <w:tcW w:type="dxa" w:w="1600"/>
            <w:vAlign w:val="center"/>
            <w:tcMar>
              <w:top w:w="80" w:type="dxa"/>
              <w:start w:w="120" w:type="dxa"/>
              <w:bottom w:w="80" w:type="dxa"/>
              <w:end w:w="120" w:type="dxa"/>
            </w:tcMar>
          </w:tcPr>
          <w:p>
            <w:pPr>
              <w:spacing w:after="0" w:line="259" w:lineRule="auto"/>
              <w:jc w:val="left"/>
            </w:pPr>
            <w:r>
              <w:rPr>
                <w:rFonts w:ascii="Calibri" w:hAnsi="Calibri" w:eastAsia="Calibri"/>
                <w:b/>
                <w:color w:val="111827"/>
                <w:sz w:val="17"/>
              </w:rPr>
              <w:t>G6 Operations</w:t>
            </w:r>
          </w:p>
        </w:tc>
        <w:tc>
          <w:tcPr>
            <w:tcW w:type="dxa" w:w="77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Recommendation, approval, completion, verification and outcome remain distinct</w:t>
            </w:r>
          </w:p>
        </w:tc>
      </w:tr>
      <w:tr>
        <w:trPr>
          <w:cantSplit/>
        </w:trPr>
        <w:tc>
          <w:tcPr>
            <w:tcW w:type="dxa" w:w="1600"/>
            <w:vAlign w:val="center"/>
            <w:tcMar>
              <w:top w:w="80" w:type="dxa"/>
              <w:start w:w="120" w:type="dxa"/>
              <w:bottom w:w="80" w:type="dxa"/>
              <w:end w:w="120" w:type="dxa"/>
            </w:tcMar>
          </w:tcPr>
          <w:p>
            <w:pPr>
              <w:spacing w:after="0" w:line="259" w:lineRule="auto"/>
              <w:jc w:val="left"/>
            </w:pPr>
            <w:r>
              <w:rPr>
                <w:rFonts w:ascii="Calibri" w:hAnsi="Calibri" w:eastAsia="Calibri"/>
                <w:b/>
                <w:color w:val="111827"/>
                <w:sz w:val="17"/>
              </w:rPr>
              <w:t>G7 Standalone</w:t>
            </w:r>
          </w:p>
        </w:tc>
        <w:tc>
          <w:tcPr>
            <w:tcW w:type="dxa" w:w="77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Full manual workflow works during robot and internet unavailability</w:t>
            </w:r>
          </w:p>
        </w:tc>
      </w:tr>
      <w:tr>
        <w:trPr>
          <w:cantSplit/>
        </w:trPr>
        <w:tc>
          <w:tcPr>
            <w:tcW w:type="dxa" w:w="1600"/>
            <w:vAlign w:val="center"/>
            <w:tcMar>
              <w:top w:w="80" w:type="dxa"/>
              <w:start w:w="120" w:type="dxa"/>
              <w:bottom w:w="80" w:type="dxa"/>
              <w:end w:w="120" w:type="dxa"/>
            </w:tcMar>
          </w:tcPr>
          <w:p>
            <w:pPr>
              <w:spacing w:after="0" w:line="259" w:lineRule="auto"/>
              <w:jc w:val="left"/>
            </w:pPr>
            <w:r>
              <w:rPr>
                <w:rFonts w:ascii="Calibri" w:hAnsi="Calibri" w:eastAsia="Calibri"/>
                <w:b/>
                <w:color w:val="111827"/>
                <w:sz w:val="17"/>
              </w:rPr>
              <w:t>G8 Docking</w:t>
            </w:r>
          </w:p>
        </w:tc>
        <w:tc>
          <w:tcPr>
            <w:tcW w:type="dxa" w:w="77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Versioned mission and result schemas pass simulation, retry, cancel and fault tests</w:t>
            </w:r>
          </w:p>
        </w:tc>
      </w:tr>
      <w:tr>
        <w:trPr>
          <w:cantSplit/>
        </w:trPr>
        <w:tc>
          <w:tcPr>
            <w:tcW w:type="dxa" w:w="1600"/>
            <w:vAlign w:val="center"/>
            <w:tcMar>
              <w:top w:w="80" w:type="dxa"/>
              <w:start w:w="120" w:type="dxa"/>
              <w:bottom w:w="80" w:type="dxa"/>
              <w:end w:w="120" w:type="dxa"/>
            </w:tcMar>
          </w:tcPr>
          <w:p>
            <w:pPr>
              <w:spacing w:after="0" w:line="259" w:lineRule="auto"/>
              <w:jc w:val="left"/>
            </w:pPr>
            <w:r>
              <w:rPr>
                <w:rFonts w:ascii="Calibri" w:hAnsi="Calibri" w:eastAsia="Calibri"/>
                <w:b/>
                <w:color w:val="111827"/>
                <w:sz w:val="17"/>
              </w:rPr>
              <w:t>G9 Release</w:t>
            </w:r>
          </w:p>
        </w:tc>
        <w:tc>
          <w:tcPr>
            <w:tcW w:type="dxa" w:w="77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Security, privacy, accessibility, rollback, documents and evidence classifications complete</w:t>
            </w:r>
          </w:p>
        </w:tc>
      </w:tr>
    </w:tbl>
    <w:p>
      <w:pPr>
        <w:keepNext w:val="0"/>
        <w:spacing w:before="0" w:after="40" w:line="300" w:lineRule="auto"/>
        <w:jc w:val="left"/>
      </w:pPr>
      <w:r>
        <w:rPr>
          <w:rFonts w:ascii="Calibri" w:hAnsi="Calibri" w:eastAsia="Calibri"/>
          <w:b w:val="0"/>
          <w:i w:val="0"/>
          <w:color w:val="111827"/>
          <w:sz w:val="22"/>
        </w:rPr>
      </w:r>
    </w:p>
    <w:p>
      <w:pPr>
        <w:pStyle w:val="Heading1"/>
      </w:pPr>
      <w:r>
        <w:t>18. Evaluation, safety, ethics and risk management</w:t>
      </w:r>
    </w:p>
    <w:p>
      <w:pPr>
        <w:pStyle w:val="Heading2"/>
      </w:pPr>
      <w:r>
        <w:t>18.1 Evaluation matrix</w:t>
      </w:r>
    </w:p>
    <w:tbl>
      <w:tblPr>
        <w:tblStyle w:val="TableGrid"/>
        <w:tblW w:type="dxa" w:w="9360"/>
        <w:jc w:val="left"/>
        <w:tblLayout w:type="fixed"/>
        <w:tblLook w:firstColumn="1" w:firstRow="1" w:lastColumn="0" w:lastRow="0" w:noHBand="0" w:noVBand="1" w:val="04A0"/>
        <w:tblInd w:w="120" w:type="dxa"/>
      </w:tblPr>
      <w:tblGrid>
        <w:gridCol w:w="1800"/>
        <w:gridCol w:w="3800"/>
        <w:gridCol w:w="3760"/>
      </w:tblGrid>
      <w:tr>
        <w:trPr>
          <w:tblHeader w:val="true"/>
          <w:cantSplit/>
        </w:trPr>
        <w:tc>
          <w:tcPr>
            <w:tcW w:type="dxa" w:w="1800"/>
            <w:shd w:fill="E8EEF5"/>
            <w:vAlign w:val="center"/>
            <w:tcMar>
              <w:top w:w="80" w:type="dxa"/>
              <w:start w:w="120" w:type="dxa"/>
              <w:bottom w:w="80" w:type="dxa"/>
              <w:end w:w="120" w:type="dxa"/>
            </w:tcMar>
          </w:tcPr>
          <w:p>
            <w:pPr>
              <w:spacing w:after="0" w:line="252" w:lineRule="auto"/>
              <w:jc w:val="center"/>
            </w:pPr>
            <w:r>
              <w:rPr>
                <w:rFonts w:ascii="Calibri" w:hAnsi="Calibri" w:eastAsia="Calibri"/>
                <w:b/>
                <w:color w:val="0B2545"/>
                <w:sz w:val="16"/>
              </w:rPr>
              <w:t>Capability</w:t>
            </w:r>
          </w:p>
        </w:tc>
        <w:tc>
          <w:tcPr>
            <w:tcW w:type="dxa" w:w="3800"/>
            <w:shd w:fill="E8EEF5"/>
            <w:vAlign w:val="center"/>
            <w:tcMar>
              <w:top w:w="80" w:type="dxa"/>
              <w:start w:w="120" w:type="dxa"/>
              <w:bottom w:w="80" w:type="dxa"/>
              <w:end w:w="120" w:type="dxa"/>
            </w:tcMar>
          </w:tcPr>
          <w:p>
            <w:pPr>
              <w:spacing w:after="0" w:line="252" w:lineRule="auto"/>
              <w:jc w:val="center"/>
            </w:pPr>
            <w:r>
              <w:rPr>
                <w:rFonts w:ascii="Calibri" w:hAnsi="Calibri" w:eastAsia="Calibri"/>
                <w:b/>
                <w:color w:val="0B2545"/>
                <w:sz w:val="16"/>
              </w:rPr>
              <w:t>Metrics</w:t>
            </w:r>
          </w:p>
        </w:tc>
        <w:tc>
          <w:tcPr>
            <w:tcW w:type="dxa" w:w="3760"/>
            <w:shd w:fill="E8EEF5"/>
            <w:vAlign w:val="center"/>
            <w:tcMar>
              <w:top w:w="80" w:type="dxa"/>
              <w:start w:w="120" w:type="dxa"/>
              <w:bottom w:w="80" w:type="dxa"/>
              <w:end w:w="120" w:type="dxa"/>
            </w:tcMar>
          </w:tcPr>
          <w:p>
            <w:pPr>
              <w:spacing w:after="0" w:line="252" w:lineRule="auto"/>
              <w:jc w:val="left"/>
            </w:pPr>
            <w:r>
              <w:rPr>
                <w:rFonts w:ascii="Calibri" w:hAnsi="Calibri" w:eastAsia="Calibri"/>
                <w:b/>
                <w:color w:val="0B2545"/>
                <w:sz w:val="16"/>
              </w:rPr>
              <w:t>Required split / comparison</w:t>
            </w:r>
          </w:p>
        </w:tc>
      </w:tr>
      <w:tr>
        <w:trPr>
          <w:cantSplit/>
        </w:trPr>
        <w:tc>
          <w:tcPr>
            <w:tcW w:type="dxa" w:w="18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Sensor/state quality</w:t>
            </w:r>
          </w:p>
        </w:tc>
        <w:tc>
          <w:tcPr>
            <w:tcW w:type="dxa" w:w="38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Uptime, missingness, drift, calibration error and uncertainty coverage</w:t>
            </w:r>
          </w:p>
        </w:tc>
        <w:tc>
          <w:tcPr>
            <w:tcW w:type="dxa" w:w="37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Device/plot/time breakdown; field/lab reference</w:t>
            </w:r>
          </w:p>
        </w:tc>
      </w:tr>
      <w:tr>
        <w:trPr>
          <w:cantSplit/>
        </w:trPr>
        <w:tc>
          <w:tcPr>
            <w:tcW w:type="dxa" w:w="18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Crop vision</w:t>
            </w:r>
          </w:p>
        </w:tc>
        <w:tc>
          <w:tcPr>
            <w:tcW w:type="dxa" w:w="38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Precision, recall, F1, mAP/IoU, count MAE and calibration</w:t>
            </w:r>
          </w:p>
        </w:tc>
        <w:tc>
          <w:tcPr>
            <w:tcW w:type="dxa" w:w="37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Farm/season/field-separated; field imagery, not only curated leaves</w:t>
            </w:r>
          </w:p>
        </w:tc>
      </w:tr>
      <w:tr>
        <w:trPr>
          <w:cantSplit/>
        </w:trPr>
        <w:tc>
          <w:tcPr>
            <w:tcW w:type="dxa" w:w="18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Soil moisture forecast</w:t>
            </w:r>
          </w:p>
        </w:tc>
        <w:tc>
          <w:tcPr>
            <w:tcW w:type="dxa" w:w="38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MAE/RMSE, bias, threshold-event recall and interval coverage</w:t>
            </w:r>
          </w:p>
        </w:tc>
        <w:tc>
          <w:tcPr>
            <w:tcW w:type="dxa" w:w="37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Per depth/plot/horizon vs persistence and water balance</w:t>
            </w:r>
          </w:p>
        </w:tc>
      </w:tr>
      <w:tr>
        <w:trPr>
          <w:cantSplit/>
        </w:trPr>
        <w:tc>
          <w:tcPr>
            <w:tcW w:type="dxa" w:w="18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Yield forecast</w:t>
            </w:r>
          </w:p>
        </w:tc>
        <w:tc>
          <w:tcPr>
            <w:tcW w:type="dxa" w:w="38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MAE/RMSE/MAPE where valid, R2, rank correlation and interval coverage</w:t>
            </w:r>
          </w:p>
        </w:tc>
        <w:tc>
          <w:tcPr>
            <w:tcW w:type="dxa" w:w="37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Forecast date, crop, field and season vs historical/mean baseline</w:t>
            </w:r>
          </w:p>
        </w:tc>
      </w:tr>
      <w:tr>
        <w:trPr>
          <w:cantSplit/>
        </w:trPr>
        <w:tc>
          <w:tcPr>
            <w:tcW w:type="dxa" w:w="18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Treatment effect</w:t>
            </w:r>
          </w:p>
        </w:tc>
        <w:tc>
          <w:tcPr>
            <w:tcW w:type="dxa" w:w="38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Effect estimate, CI/credible interval, water-use efficiency and cost</w:t>
            </w:r>
          </w:p>
        </w:tc>
        <w:tc>
          <w:tcPr>
            <w:tcW w:type="dxa" w:w="37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Randomised/matched controls with block/season effects</w:t>
            </w:r>
          </w:p>
        </w:tc>
      </w:tr>
      <w:tr>
        <w:trPr>
          <w:cantSplit/>
        </w:trPr>
        <w:tc>
          <w:tcPr>
            <w:tcW w:type="dxa" w:w="18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100-hour alerts</w:t>
            </w:r>
          </w:p>
        </w:tc>
        <w:tc>
          <w:tcPr>
            <w:tcW w:type="dxa" w:w="38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Precision/recall, false alarms per plot-week, lead time and acknowledgement</w:t>
            </w:r>
          </w:p>
        </w:tc>
        <w:tc>
          <w:tcPr>
            <w:tcW w:type="dxa" w:w="37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0-24, 24-48, 48-72 and 72-100 h bands</w:t>
            </w:r>
          </w:p>
        </w:tc>
      </w:tr>
      <w:tr>
        <w:trPr>
          <w:cantSplit/>
        </w:trPr>
        <w:tc>
          <w:tcPr>
            <w:tcW w:type="dxa" w:w="18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Twin/platform</w:t>
            </w:r>
          </w:p>
        </w:tc>
        <w:tc>
          <w:tcPr>
            <w:tcW w:type="dxa" w:w="38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Replay consistency, latency, schema success, offline recovery and audit completeness</w:t>
            </w:r>
          </w:p>
        </w:tc>
        <w:tc>
          <w:tcPr>
            <w:tcW w:type="dxa" w:w="37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Fault injection and end-to-end scenario tests</w:t>
            </w:r>
          </w:p>
        </w:tc>
      </w:tr>
    </w:tbl>
    <w:p>
      <w:pPr>
        <w:keepNext w:val="0"/>
        <w:spacing w:before="0" w:after="40" w:line="300" w:lineRule="auto"/>
        <w:jc w:val="left"/>
      </w:pPr>
      <w:r>
        <w:rPr>
          <w:rFonts w:ascii="Calibri" w:hAnsi="Calibri" w:eastAsia="Calibri"/>
          <w:b w:val="0"/>
          <w:i w:val="0"/>
          <w:color w:val="111827"/>
          <w:sz w:val="22"/>
        </w:rPr>
      </w:r>
    </w:p>
    <w:p>
      <w:pPr>
        <w:pStyle w:val="Heading2"/>
      </w:pPr>
      <w:r>
        <w:t>18.2 Safety controls</w:t>
      </w:r>
    </w:p>
    <w:p>
      <w:pPr>
        <w:numPr>
          <w:ilvl w:val="0"/>
          <w:numId w:val="10"/>
        </w:numPr>
        <w:spacing w:after="80" w:line="300" w:lineRule="auto"/>
      </w:pPr>
      <w:r>
        <w:rPr>
          <w:rFonts w:ascii="Calibri" w:hAnsi="Calibri" w:eastAsia="Calibri"/>
          <w:color w:val="111827"/>
          <w:sz w:val="22"/>
        </w:rPr>
        <w:t>Agronomic thresholds and intervention rules are reviewed and versioned by a domain expert.</w:t>
      </w:r>
    </w:p>
    <w:p>
      <w:pPr>
        <w:numPr>
          <w:ilvl w:val="0"/>
          <w:numId w:val="10"/>
        </w:numPr>
        <w:spacing w:after="80" w:line="300" w:lineRule="auto"/>
      </w:pPr>
      <w:r>
        <w:rPr>
          <w:rFonts w:ascii="Calibri" w:hAnsi="Calibri" w:eastAsia="Calibri"/>
          <w:color w:val="111827"/>
          <w:sz w:val="22"/>
        </w:rPr>
        <w:t>Chemical, fertilizer and treatment actions require product/legal compliance and explicit approval.</w:t>
      </w:r>
    </w:p>
    <w:p>
      <w:pPr>
        <w:numPr>
          <w:ilvl w:val="0"/>
          <w:numId w:val="10"/>
        </w:numPr>
        <w:spacing w:after="80" w:line="300" w:lineRule="auto"/>
      </w:pPr>
      <w:r>
        <w:rPr>
          <w:rFonts w:ascii="Calibri" w:hAnsi="Calibri" w:eastAsia="Calibri"/>
          <w:color w:val="111827"/>
          <w:sz w:val="22"/>
        </w:rPr>
        <w:t>Sensor failure or stale data reduces automation authority; it must not silently preserve a previous safe state.</w:t>
      </w:r>
    </w:p>
    <w:p>
      <w:pPr>
        <w:numPr>
          <w:ilvl w:val="0"/>
          <w:numId w:val="10"/>
        </w:numPr>
        <w:spacing w:after="80" w:line="300" w:lineRule="auto"/>
      </w:pPr>
      <w:r>
        <w:rPr>
          <w:rFonts w:ascii="Calibri" w:hAnsi="Calibri" w:eastAsia="Calibri"/>
          <w:color w:val="111827"/>
          <w:sz w:val="22"/>
        </w:rPr>
        <w:t>Robotic observation may be pre-approved; intervention and heavy equipment use higher approval classes.</w:t>
      </w:r>
    </w:p>
    <w:p>
      <w:pPr>
        <w:numPr>
          <w:ilvl w:val="0"/>
          <w:numId w:val="10"/>
        </w:numPr>
        <w:spacing w:after="80" w:line="300" w:lineRule="auto"/>
      </w:pPr>
      <w:r>
        <w:rPr>
          <w:rFonts w:ascii="Calibri" w:hAnsi="Calibri" w:eastAsia="Calibri"/>
          <w:color w:val="111827"/>
          <w:sz w:val="22"/>
        </w:rPr>
        <w:t>Geofences, no-go areas, weather limits, human stop and emergency-stop remain RoboLink responsibilities.</w:t>
      </w:r>
    </w:p>
    <w:p>
      <w:pPr>
        <w:numPr>
          <w:ilvl w:val="0"/>
          <w:numId w:val="10"/>
        </w:numPr>
        <w:spacing w:after="80" w:line="300" w:lineRule="auto"/>
      </w:pPr>
      <w:r>
        <w:rPr>
          <w:rFonts w:ascii="Calibri" w:hAnsi="Calibri" w:eastAsia="Calibri"/>
          <w:color w:val="111827"/>
          <w:sz w:val="22"/>
        </w:rPr>
        <w:t>All alerts and actions are auditable; failed or partial tasks retain residual risk.</w:t>
      </w:r>
    </w:p>
    <w:p>
      <w:pPr>
        <w:pStyle w:val="Heading2"/>
      </w:pPr>
      <w:r>
        <w:t>18.3 Risk register</w:t>
      </w:r>
    </w:p>
    <w:tbl>
      <w:tblPr>
        <w:tblStyle w:val="TableGrid"/>
        <w:tblW w:type="dxa" w:w="9360"/>
        <w:jc w:val="left"/>
        <w:tblLayout w:type="fixed"/>
        <w:tblLook w:firstColumn="1" w:firstRow="1" w:lastColumn="0" w:lastRow="0" w:noHBand="0" w:noVBand="1" w:val="04A0"/>
        <w:tblInd w:w="120" w:type="dxa"/>
      </w:tblPr>
      <w:tblGrid>
        <w:gridCol w:w="1850"/>
        <w:gridCol w:w="3000"/>
        <w:gridCol w:w="4510"/>
      </w:tblGrid>
      <w:tr>
        <w:trPr>
          <w:tblHeader w:val="true"/>
          <w:cantSplit/>
        </w:trPr>
        <w:tc>
          <w:tcPr>
            <w:tcW w:type="dxa" w:w="1850"/>
            <w:shd w:fill="E8EEF5"/>
            <w:vAlign w:val="center"/>
            <w:tcMar>
              <w:top w:w="80" w:type="dxa"/>
              <w:start w:w="120" w:type="dxa"/>
              <w:bottom w:w="80" w:type="dxa"/>
              <w:end w:w="120" w:type="dxa"/>
            </w:tcMar>
          </w:tcPr>
          <w:p>
            <w:pPr>
              <w:spacing w:after="0" w:line="252" w:lineRule="auto"/>
              <w:jc w:val="center"/>
            </w:pPr>
            <w:r>
              <w:rPr>
                <w:rFonts w:ascii="Calibri" w:hAnsi="Calibri" w:eastAsia="Calibri"/>
                <w:b/>
                <w:color w:val="0B2545"/>
                <w:sz w:val="16"/>
              </w:rPr>
              <w:t>Risk</w:t>
            </w:r>
          </w:p>
        </w:tc>
        <w:tc>
          <w:tcPr>
            <w:tcW w:type="dxa" w:w="3000"/>
            <w:shd w:fill="E8EEF5"/>
            <w:vAlign w:val="center"/>
            <w:tcMar>
              <w:top w:w="80" w:type="dxa"/>
              <w:start w:w="120" w:type="dxa"/>
              <w:bottom w:w="80" w:type="dxa"/>
              <w:end w:w="120" w:type="dxa"/>
            </w:tcMar>
          </w:tcPr>
          <w:p>
            <w:pPr>
              <w:spacing w:after="0" w:line="252" w:lineRule="auto"/>
              <w:jc w:val="center"/>
            </w:pPr>
            <w:r>
              <w:rPr>
                <w:rFonts w:ascii="Calibri" w:hAnsi="Calibri" w:eastAsia="Calibri"/>
                <w:b/>
                <w:color w:val="0B2545"/>
                <w:sz w:val="16"/>
              </w:rPr>
              <w:t>Effect</w:t>
            </w:r>
          </w:p>
        </w:tc>
        <w:tc>
          <w:tcPr>
            <w:tcW w:type="dxa" w:w="4510"/>
            <w:shd w:fill="E8EEF5"/>
            <w:vAlign w:val="center"/>
            <w:tcMar>
              <w:top w:w="80" w:type="dxa"/>
              <w:start w:w="120" w:type="dxa"/>
              <w:bottom w:w="80" w:type="dxa"/>
              <w:end w:w="120" w:type="dxa"/>
            </w:tcMar>
          </w:tcPr>
          <w:p>
            <w:pPr>
              <w:spacing w:after="0" w:line="252" w:lineRule="auto"/>
              <w:jc w:val="center"/>
            </w:pPr>
            <w:r>
              <w:rPr>
                <w:rFonts w:ascii="Calibri" w:hAnsi="Calibri" w:eastAsia="Calibri"/>
                <w:b/>
                <w:color w:val="0B2545"/>
                <w:sz w:val="16"/>
              </w:rPr>
              <w:t>Control</w:t>
            </w:r>
          </w:p>
        </w:tc>
      </w:tr>
      <w:tr>
        <w:trPr>
          <w:cantSplit/>
        </w:trPr>
        <w:tc>
          <w:tcPr>
            <w:tcW w:type="dxa" w:w="185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Weak local ground truth</w:t>
            </w:r>
          </w:p>
        </w:tc>
        <w:tc>
          <w:tcPr>
            <w:tcW w:type="dxa" w:w="30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High benchmark score but poor farm deployment</w:t>
            </w:r>
          </w:p>
        </w:tc>
        <w:tc>
          <w:tcPr>
            <w:tcW w:type="dxa" w:w="451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Field protocol, expert labels, measured harvest and external-season test</w:t>
            </w:r>
          </w:p>
        </w:tc>
      </w:tr>
      <w:tr>
        <w:trPr>
          <w:cantSplit/>
        </w:trPr>
        <w:tc>
          <w:tcPr>
            <w:tcW w:type="dxa" w:w="185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Cheap sensor drift</w:t>
            </w:r>
          </w:p>
        </w:tc>
        <w:tc>
          <w:tcPr>
            <w:tcW w:type="dxa" w:w="30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Wrong irrigation/stress state</w:t>
            </w:r>
          </w:p>
        </w:tc>
        <w:tc>
          <w:tcPr>
            <w:tcW w:type="dxa" w:w="451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Local calibration, redundancy, drift alarms and lab/field checks</w:t>
            </w:r>
          </w:p>
        </w:tc>
      </w:tr>
      <w:tr>
        <w:trPr>
          <w:cantSplit/>
        </w:trPr>
        <w:tc>
          <w:tcPr>
            <w:tcW w:type="dxa" w:w="185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Weather/model overconfidence</w:t>
            </w:r>
          </w:p>
        </w:tc>
        <w:tc>
          <w:tcPr>
            <w:tcW w:type="dxa" w:w="30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Unnecessary or unsafe task</w:t>
            </w:r>
          </w:p>
        </w:tc>
        <w:tc>
          <w:tcPr>
            <w:tcW w:type="dxa" w:w="451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Ensembles, horizon calibration, expiry and human approval</w:t>
            </w:r>
          </w:p>
        </w:tc>
      </w:tr>
      <w:tr>
        <w:trPr>
          <w:cantSplit/>
        </w:trPr>
        <w:tc>
          <w:tcPr>
            <w:tcW w:type="dxa" w:w="185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Treatment confounding</w:t>
            </w:r>
          </w:p>
        </w:tc>
        <w:tc>
          <w:tcPr>
            <w:tcW w:type="dxa" w:w="30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False mulch/hydrogel benefit claim</w:t>
            </w:r>
          </w:p>
        </w:tc>
        <w:tc>
          <w:tcPr>
            <w:tcW w:type="dxa" w:w="451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Controls, randomisation/blocks, operation logging and multi-season validation</w:t>
            </w:r>
          </w:p>
        </w:tc>
      </w:tr>
      <w:tr>
        <w:trPr>
          <w:cantSplit/>
        </w:trPr>
        <w:tc>
          <w:tcPr>
            <w:tcW w:type="dxa" w:w="185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Connectivity/power loss</w:t>
            </w:r>
          </w:p>
        </w:tc>
        <w:tc>
          <w:tcPr>
            <w:tcW w:type="dxa" w:w="30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Missing data and delayed alert</w:t>
            </w:r>
          </w:p>
        </w:tc>
        <w:tc>
          <w:tcPr>
            <w:tcW w:type="dxa" w:w="451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Edge buffer, local decision subset, health telemetry and graceful recovery</w:t>
            </w:r>
          </w:p>
        </w:tc>
      </w:tr>
      <w:tr>
        <w:trPr>
          <w:cantSplit/>
        </w:trPr>
        <w:tc>
          <w:tcPr>
            <w:tcW w:type="dxa" w:w="185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Domain shift</w:t>
            </w:r>
          </w:p>
        </w:tc>
        <w:tc>
          <w:tcPr>
            <w:tcW w:type="dxa" w:w="30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Model fails on new crop/farm/season</w:t>
            </w:r>
          </w:p>
        </w:tc>
        <w:tc>
          <w:tcPr>
            <w:tcW w:type="dxa" w:w="451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Crop packs, holdout tests, monitoring and abstain/unknown state</w:t>
            </w:r>
          </w:p>
        </w:tc>
      </w:tr>
      <w:tr>
        <w:trPr>
          <w:cantSplit/>
        </w:trPr>
        <w:tc>
          <w:tcPr>
            <w:tcW w:type="dxa" w:w="185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Interface drift</w:t>
            </w:r>
          </w:p>
        </w:tc>
        <w:tc>
          <w:tcPr>
            <w:tcW w:type="dxa" w:w="30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AgriGuard/RoboLink integration breaks</w:t>
            </w:r>
          </w:p>
        </w:tc>
        <w:tc>
          <w:tcPr>
            <w:tcW w:type="dxa" w:w="451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Versioned contracts, consumer tests and deprecation window</w:t>
            </w:r>
          </w:p>
        </w:tc>
      </w:tr>
      <w:tr>
        <w:trPr>
          <w:cantSplit/>
        </w:trPr>
        <w:tc>
          <w:tcPr>
            <w:tcW w:type="dxa" w:w="185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Licence/terms violation</w:t>
            </w:r>
          </w:p>
        </w:tc>
        <w:tc>
          <w:tcPr>
            <w:tcW w:type="dxa" w:w="30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Cannot publish or commercialise</w:t>
            </w:r>
          </w:p>
        </w:tc>
        <w:tc>
          <w:tcPr>
            <w:tcW w:type="dxa" w:w="451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Per-source register; Bhuvan and dataset restrictions reviewed before use</w:t>
            </w:r>
          </w:p>
        </w:tc>
      </w:tr>
      <w:tr>
        <w:trPr>
          <w:cantSplit/>
        </w:trPr>
        <w:tc>
          <w:tcPr>
            <w:tcW w:type="dxa" w:w="185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Unsafe automation</w:t>
            </w:r>
          </w:p>
        </w:tc>
        <w:tc>
          <w:tcPr>
            <w:tcW w:type="dxa" w:w="30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Crop, equipment or human harm</w:t>
            </w:r>
          </w:p>
        </w:tc>
        <w:tc>
          <w:tcPr>
            <w:tcW w:type="dxa" w:w="451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Authority classes, interlocks, supervisor and separate RoboLink safety case</w:t>
            </w:r>
          </w:p>
        </w:tc>
      </w:tr>
    </w:tbl>
    <w:p>
      <w:pPr>
        <w:keepNext w:val="0"/>
        <w:spacing w:before="0" w:after="40" w:line="300" w:lineRule="auto"/>
        <w:jc w:val="left"/>
      </w:pPr>
      <w:r>
        <w:rPr>
          <w:rFonts w:ascii="Calibri" w:hAnsi="Calibri" w:eastAsia="Calibri"/>
          <w:b w:val="0"/>
          <w:i w:val="0"/>
          <w:color w:val="111827"/>
          <w:sz w:val="22"/>
        </w:rPr>
      </w:r>
    </w:p>
    <w:p>
      <w:pPr>
        <w:pStyle w:val="Heading2"/>
      </w:pPr>
      <w:r>
        <w:t>18.4 Claims discipline</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shd w:fill="E8EEF5"/>
            <w:vAlign w:val="center"/>
            <w:tcMar>
              <w:top w:w="80" w:type="dxa"/>
              <w:start w:w="120" w:type="dxa"/>
              <w:bottom w:w="80" w:type="dxa"/>
              <w:end w:w="120" w:type="dxa"/>
            </w:tcMar>
          </w:tcPr>
          <w:p>
            <w:pPr>
              <w:spacing w:after="0" w:line="252" w:lineRule="auto"/>
              <w:jc w:val="center"/>
            </w:pPr>
            <w:r>
              <w:rPr>
                <w:rFonts w:ascii="Calibri" w:hAnsi="Calibri" w:eastAsia="Calibri"/>
                <w:b/>
                <w:color w:val="0B2545"/>
                <w:sz w:val="18"/>
              </w:rPr>
              <w:t>Label</w:t>
            </w:r>
          </w:p>
        </w:tc>
        <w:tc>
          <w:tcPr>
            <w:tcW w:type="dxa" w:w="7160"/>
            <w:shd w:fill="E8EEF5"/>
            <w:vAlign w:val="center"/>
            <w:tcMar>
              <w:top w:w="80" w:type="dxa"/>
              <w:start w:w="120" w:type="dxa"/>
              <w:bottom w:w="80" w:type="dxa"/>
              <w:end w:w="120" w:type="dxa"/>
            </w:tcMar>
          </w:tcPr>
          <w:p>
            <w:pPr>
              <w:spacing w:after="0" w:line="252" w:lineRule="auto"/>
              <w:jc w:val="center"/>
            </w:pPr>
            <w:r>
              <w:rPr>
                <w:rFonts w:ascii="Calibri" w:hAnsi="Calibri" w:eastAsia="Calibri"/>
                <w:b/>
                <w:color w:val="0B2545"/>
                <w:sz w:val="18"/>
              </w:rPr>
              <w:t>Meaning</w:t>
            </w:r>
          </w:p>
        </w:tc>
      </w:tr>
      <w:tr>
        <w:trPr>
          <w:cantSplit/>
        </w:trPr>
        <w:tc>
          <w:tcPr>
            <w:tcW w:type="dxa" w:w="2200"/>
            <w:vAlign w:val="center"/>
            <w:tcMar>
              <w:top w:w="80" w:type="dxa"/>
              <w:start w:w="120" w:type="dxa"/>
              <w:bottom w:w="80" w:type="dxa"/>
              <w:end w:w="120" w:type="dxa"/>
            </w:tcMar>
          </w:tcPr>
          <w:p>
            <w:pPr>
              <w:spacing w:after="0" w:line="259" w:lineRule="auto"/>
              <w:jc w:val="left"/>
            </w:pPr>
            <w:r>
              <w:rPr>
                <w:rFonts w:ascii="Calibri" w:hAnsi="Calibri" w:eastAsia="Calibri"/>
                <w:b/>
                <w:color w:val="111827"/>
                <w:sz w:val="18"/>
              </w:rPr>
              <w:t>Verified field result</w:t>
            </w:r>
          </w:p>
        </w:tc>
        <w:tc>
          <w:tcPr>
            <w:tcW w:type="dxa" w:w="71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8"/>
              </w:rPr>
              <w:t>Measured on a defined farm/season with documented protocol and evaluation</w:t>
            </w:r>
          </w:p>
        </w:tc>
      </w:tr>
      <w:tr>
        <w:trPr>
          <w:cantSplit/>
        </w:trPr>
        <w:tc>
          <w:tcPr>
            <w:tcW w:type="dxa" w:w="2200"/>
            <w:vAlign w:val="center"/>
            <w:tcMar>
              <w:top w:w="80" w:type="dxa"/>
              <w:start w:w="120" w:type="dxa"/>
              <w:bottom w:w="80" w:type="dxa"/>
              <w:end w:w="120" w:type="dxa"/>
            </w:tcMar>
          </w:tcPr>
          <w:p>
            <w:pPr>
              <w:spacing w:after="0" w:line="259" w:lineRule="auto"/>
              <w:jc w:val="left"/>
            </w:pPr>
            <w:r>
              <w:rPr>
                <w:rFonts w:ascii="Calibri" w:hAnsi="Calibri" w:eastAsia="Calibri"/>
                <w:b/>
                <w:color w:val="111827"/>
                <w:sz w:val="18"/>
              </w:rPr>
              <w:t>Controlled trial result</w:t>
            </w:r>
          </w:p>
        </w:tc>
        <w:tc>
          <w:tcPr>
            <w:tcW w:type="dxa" w:w="71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8"/>
              </w:rPr>
              <w:t>Treatment/control evidence with registered design and uncertainty</w:t>
            </w:r>
          </w:p>
        </w:tc>
      </w:tr>
      <w:tr>
        <w:trPr>
          <w:cantSplit/>
        </w:trPr>
        <w:tc>
          <w:tcPr>
            <w:tcW w:type="dxa" w:w="2200"/>
            <w:vAlign w:val="center"/>
            <w:tcMar>
              <w:top w:w="80" w:type="dxa"/>
              <w:start w:w="120" w:type="dxa"/>
              <w:bottom w:w="80" w:type="dxa"/>
              <w:end w:w="120" w:type="dxa"/>
            </w:tcMar>
          </w:tcPr>
          <w:p>
            <w:pPr>
              <w:spacing w:after="0" w:line="259" w:lineRule="auto"/>
              <w:jc w:val="left"/>
            </w:pPr>
            <w:r>
              <w:rPr>
                <w:rFonts w:ascii="Calibri" w:hAnsi="Calibri" w:eastAsia="Calibri"/>
                <w:b/>
                <w:color w:val="111827"/>
                <w:sz w:val="18"/>
              </w:rPr>
              <w:t>Simulation result</w:t>
            </w:r>
          </w:p>
        </w:tc>
        <w:tc>
          <w:tcPr>
            <w:tcW w:type="dxa" w:w="71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8"/>
              </w:rPr>
              <w:t>Synthetic or replayed data; useful for engineering but not field efficacy</w:t>
            </w:r>
          </w:p>
        </w:tc>
      </w:tr>
      <w:tr>
        <w:trPr>
          <w:cantSplit/>
        </w:trPr>
        <w:tc>
          <w:tcPr>
            <w:tcW w:type="dxa" w:w="2200"/>
            <w:vAlign w:val="center"/>
            <w:tcMar>
              <w:top w:w="80" w:type="dxa"/>
              <w:start w:w="120" w:type="dxa"/>
              <w:bottom w:w="80" w:type="dxa"/>
              <w:end w:w="120" w:type="dxa"/>
            </w:tcMar>
          </w:tcPr>
          <w:p>
            <w:pPr>
              <w:spacing w:after="0" w:line="259" w:lineRule="auto"/>
              <w:jc w:val="left"/>
            </w:pPr>
            <w:r>
              <w:rPr>
                <w:rFonts w:ascii="Calibri" w:hAnsi="Calibri" w:eastAsia="Calibri"/>
                <w:b/>
                <w:color w:val="111827"/>
                <w:sz w:val="18"/>
              </w:rPr>
              <w:t>Design target</w:t>
            </w:r>
          </w:p>
        </w:tc>
        <w:tc>
          <w:tcPr>
            <w:tcW w:type="dxa" w:w="71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8"/>
              </w:rPr>
              <w:t>A planned acceptance threshold, not an achieved result</w:t>
            </w:r>
          </w:p>
        </w:tc>
      </w:tr>
      <w:tr>
        <w:trPr>
          <w:cantSplit/>
        </w:trPr>
        <w:tc>
          <w:tcPr>
            <w:tcW w:type="dxa" w:w="2200"/>
            <w:vAlign w:val="center"/>
            <w:tcMar>
              <w:top w:w="80" w:type="dxa"/>
              <w:start w:w="120" w:type="dxa"/>
              <w:bottom w:w="80" w:type="dxa"/>
              <w:end w:w="120" w:type="dxa"/>
            </w:tcMar>
          </w:tcPr>
          <w:p>
            <w:pPr>
              <w:spacing w:after="0" w:line="259" w:lineRule="auto"/>
              <w:jc w:val="left"/>
            </w:pPr>
            <w:r>
              <w:rPr>
                <w:rFonts w:ascii="Calibri" w:hAnsi="Calibri" w:eastAsia="Calibri"/>
                <w:b/>
                <w:color w:val="111827"/>
                <w:sz w:val="18"/>
              </w:rPr>
              <w:t>Projection</w:t>
            </w:r>
          </w:p>
        </w:tc>
        <w:tc>
          <w:tcPr>
            <w:tcW w:type="dxa" w:w="71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8"/>
              </w:rPr>
              <w:t>Scenario estimate that depends on explicit assumptions</w:t>
            </w:r>
          </w:p>
        </w:tc>
      </w:tr>
    </w:tbl>
    <w:p>
      <w:pPr>
        <w:keepNext w:val="0"/>
        <w:spacing w:before="0" w:after="40" w:line="300" w:lineRule="auto"/>
        <w:jc w:val="left"/>
      </w:pPr>
      <w:r>
        <w:rPr>
          <w:rFonts w:ascii="Calibri" w:hAnsi="Calibri" w:eastAsia="Calibri"/>
          <w:b w:val="0"/>
          <w:i w:val="0"/>
          <w:color w:val="111827"/>
          <w:sz w:val="22"/>
        </w:rPr>
      </w:r>
    </w:p>
    <w:p>
      <w:pPr>
        <w:pStyle w:val="Heading1"/>
      </w:pPr>
      <w:r>
        <w:t>19. Deliverables, research outputs and handover</w:t>
      </w:r>
    </w:p>
    <w:p>
      <w:pPr>
        <w:pStyle w:val="Heading2"/>
      </w:pPr>
      <w:r>
        <w:t>19.1 Product deliverables</w:t>
      </w:r>
    </w:p>
    <w:p>
      <w:pPr>
        <w:numPr>
          <w:ilvl w:val="0"/>
          <w:numId w:val="10"/>
        </w:numPr>
        <w:spacing w:after="80" w:line="300" w:lineRule="auto"/>
      </w:pPr>
      <w:r>
        <w:rPr>
          <w:rFonts w:ascii="Calibri" w:hAnsi="Calibri" w:eastAsia="Calibri"/>
          <w:color w:val="111827"/>
          <w:sz w:val="22"/>
        </w:rPr>
        <w:t>Apollo AgriGuard v1.0 web application and versioned API.</w:t>
      </w:r>
    </w:p>
    <w:p>
      <w:pPr>
        <w:numPr>
          <w:ilvl w:val="0"/>
          <w:numId w:val="10"/>
        </w:numPr>
        <w:spacing w:after="80" w:line="300" w:lineRule="auto"/>
      </w:pPr>
      <w:r>
        <w:rPr>
          <w:rFonts w:ascii="Calibri" w:hAnsi="Calibri" w:eastAsia="Calibri"/>
          <w:color w:val="111827"/>
          <w:sz w:val="22"/>
        </w:rPr>
        <w:t>Apollo Soil360 farm/field/plot/plant-row digital twin and event replay engine.</w:t>
      </w:r>
    </w:p>
    <w:p>
      <w:pPr>
        <w:numPr>
          <w:ilvl w:val="0"/>
          <w:numId w:val="10"/>
        </w:numPr>
        <w:spacing w:after="80" w:line="300" w:lineRule="auto"/>
      </w:pPr>
      <w:r>
        <w:rPr>
          <w:rFonts w:ascii="Calibri" w:hAnsi="Calibri" w:eastAsia="Calibri"/>
          <w:color w:val="111827"/>
          <w:sz w:val="22"/>
        </w:rPr>
        <w:t>IoT/weather/EO ingestion adapters, sensor simulator and offline buffering.</w:t>
      </w:r>
    </w:p>
    <w:p>
      <w:pPr>
        <w:numPr>
          <w:ilvl w:val="0"/>
          <w:numId w:val="10"/>
        </w:numPr>
        <w:spacing w:after="80" w:line="300" w:lineRule="auto"/>
      </w:pPr>
      <w:r>
        <w:rPr>
          <w:rFonts w:ascii="Calibri" w:hAnsi="Calibri" w:eastAsia="Calibri"/>
          <w:color w:val="111827"/>
          <w:sz w:val="22"/>
        </w:rPr>
        <w:t>Crop vision, soil-water, treatment, stress, yield and 100-hour alert model packages.</w:t>
      </w:r>
    </w:p>
    <w:p>
      <w:pPr>
        <w:numPr>
          <w:ilvl w:val="0"/>
          <w:numId w:val="10"/>
        </w:numPr>
        <w:spacing w:after="80" w:line="300" w:lineRule="auto"/>
      </w:pPr>
      <w:r>
        <w:rPr>
          <w:rFonts w:ascii="Calibri" w:hAnsi="Calibri" w:eastAsia="Calibri"/>
          <w:color w:val="111827"/>
          <w:sz w:val="22"/>
        </w:rPr>
        <w:t>Treatment/control comparison and season-closing report.</w:t>
      </w:r>
    </w:p>
    <w:p>
      <w:pPr>
        <w:numPr>
          <w:ilvl w:val="0"/>
          <w:numId w:val="10"/>
        </w:numPr>
        <w:spacing w:after="80" w:line="300" w:lineRule="auto"/>
      </w:pPr>
      <w:r>
        <w:rPr>
          <w:rFonts w:ascii="Calibri" w:hAnsi="Calibri" w:eastAsia="Calibri"/>
          <w:color w:val="111827"/>
          <w:sz w:val="22"/>
        </w:rPr>
        <w:t>Manual task workflow plus optional ROS2 MissionBridge adapter and mocks.</w:t>
      </w:r>
    </w:p>
    <w:p>
      <w:pPr>
        <w:numPr>
          <w:ilvl w:val="0"/>
          <w:numId w:val="10"/>
        </w:numPr>
        <w:spacing w:after="80" w:line="300" w:lineRule="auto"/>
      </w:pPr>
      <w:r>
        <w:rPr>
          <w:rFonts w:ascii="Calibri" w:hAnsi="Calibri" w:eastAsia="Calibri"/>
          <w:color w:val="111827"/>
          <w:sz w:val="22"/>
        </w:rPr>
        <w:t>Apollo Soil360 Field Benchmark dataset card, schema, split manifests and controlled release.</w:t>
      </w:r>
    </w:p>
    <w:p>
      <w:pPr>
        <w:numPr>
          <w:ilvl w:val="0"/>
          <w:numId w:val="10"/>
        </w:numPr>
        <w:spacing w:after="80" w:line="300" w:lineRule="auto"/>
      </w:pPr>
      <w:r>
        <w:rPr>
          <w:rFonts w:ascii="Calibri" w:hAnsi="Calibri" w:eastAsia="Calibri"/>
          <w:color w:val="111827"/>
          <w:sz w:val="22"/>
        </w:rPr>
        <w:t>Deployment, field calibration, annotation, safety, monitoring and rollback SOPs.</w:t>
      </w:r>
    </w:p>
    <w:p>
      <w:pPr>
        <w:pStyle w:val="Heading2"/>
      </w:pPr>
      <w:r>
        <w:t>19.2 Demonstration sequence</w:t>
      </w:r>
    </w:p>
    <w:p>
      <w:pPr>
        <w:numPr>
          <w:ilvl w:val="0"/>
          <w:numId w:val="15"/>
        </w:numPr>
        <w:spacing w:after="80" w:line="300" w:lineRule="auto"/>
      </w:pPr>
      <w:r>
        <w:rPr>
          <w:rFonts w:ascii="Calibri" w:hAnsi="Calibri" w:eastAsia="Calibri"/>
          <w:color w:val="111827"/>
          <w:sz w:val="22"/>
        </w:rPr>
        <w:t>Open a farm map and select a field, plot and representative plant/row twin.</w:t>
      </w:r>
    </w:p>
    <w:p>
      <w:pPr>
        <w:numPr>
          <w:ilvl w:val="0"/>
          <w:numId w:val="15"/>
        </w:numPr>
        <w:spacing w:after="80" w:line="300" w:lineRule="auto"/>
      </w:pPr>
      <w:r>
        <w:rPr>
          <w:rFonts w:ascii="Calibri" w:hAnsi="Calibri" w:eastAsia="Calibri"/>
          <w:color w:val="111827"/>
          <w:sz w:val="22"/>
        </w:rPr>
        <w:t>Replay/live-ingest soil, weather, imagery and irrigation data with visible quality flags.</w:t>
      </w:r>
    </w:p>
    <w:p>
      <w:pPr>
        <w:numPr>
          <w:ilvl w:val="0"/>
          <w:numId w:val="15"/>
        </w:numPr>
        <w:spacing w:after="80" w:line="300" w:lineRule="auto"/>
      </w:pPr>
      <w:r>
        <w:rPr>
          <w:rFonts w:ascii="Calibri" w:hAnsi="Calibri" w:eastAsia="Calibri"/>
          <w:color w:val="111827"/>
          <w:sz w:val="22"/>
        </w:rPr>
        <w:t>Show control vs mulch/hydrogel treatment state and response through time.</w:t>
      </w:r>
    </w:p>
    <w:p>
      <w:pPr>
        <w:numPr>
          <w:ilvl w:val="0"/>
          <w:numId w:val="15"/>
        </w:numPr>
        <w:spacing w:after="80" w:line="300" w:lineRule="auto"/>
      </w:pPr>
      <w:r>
        <w:rPr>
          <w:rFonts w:ascii="Calibri" w:hAnsi="Calibri" w:eastAsia="Calibri"/>
          <w:color w:val="111827"/>
          <w:sz w:val="22"/>
        </w:rPr>
        <w:t>Generate a soil-water/stress/yield update and a 100-hour alert with evidence and uncertainty.</w:t>
      </w:r>
    </w:p>
    <w:p>
      <w:pPr>
        <w:numPr>
          <w:ilvl w:val="0"/>
          <w:numId w:val="15"/>
        </w:numPr>
        <w:spacing w:after="80" w:line="300" w:lineRule="auto"/>
      </w:pPr>
      <w:r>
        <w:rPr>
          <w:rFonts w:ascii="Calibri" w:hAnsi="Calibri" w:eastAsia="Calibri"/>
          <w:color w:val="111827"/>
          <w:sz w:val="22"/>
        </w:rPr>
        <w:t>Approve a manual inspection/irrigation/harvest task and verify its measured outcome.</w:t>
      </w:r>
    </w:p>
    <w:p>
      <w:pPr>
        <w:numPr>
          <w:ilvl w:val="0"/>
          <w:numId w:val="15"/>
        </w:numPr>
        <w:spacing w:after="80" w:line="300" w:lineRule="auto"/>
      </w:pPr>
      <w:r>
        <w:rPr>
          <w:rFonts w:ascii="Calibri" w:hAnsi="Calibri" w:eastAsia="Calibri"/>
          <w:color w:val="111827"/>
          <w:sz w:val="22"/>
        </w:rPr>
        <w:t>Publish the same approved intent as a mock RoboLink mission; receive feedback/result.</w:t>
      </w:r>
    </w:p>
    <w:p>
      <w:pPr>
        <w:numPr>
          <w:ilvl w:val="0"/>
          <w:numId w:val="15"/>
        </w:numPr>
        <w:spacing w:after="80" w:line="300" w:lineRule="auto"/>
      </w:pPr>
      <w:r>
        <w:rPr>
          <w:rFonts w:ascii="Calibri" w:hAnsi="Calibri" w:eastAsia="Calibri"/>
          <w:color w:val="111827"/>
          <w:sz w:val="22"/>
        </w:rPr>
        <w:t>Close the season with actual yield, treatment effect, model error and next-season recommendation.</w:t>
      </w:r>
    </w:p>
    <w:p>
      <w:pPr>
        <w:pStyle w:val="Heading2"/>
      </w:pPr>
      <w:r>
        <w:t>19.3 Research publication tracks</w:t>
      </w:r>
    </w:p>
    <w:tbl>
      <w:tblPr>
        <w:tblStyle w:val="TableGrid"/>
        <w:tblW w:type="dxa" w:w="9360"/>
        <w:jc w:val="left"/>
        <w:tblLayout w:type="fixed"/>
        <w:tblLook w:firstColumn="1" w:firstRow="1" w:lastColumn="0" w:lastRow="0" w:noHBand="0" w:noVBand="1" w:val="04A0"/>
        <w:tblInd w:w="120" w:type="dxa"/>
      </w:tblPr>
      <w:tblGrid>
        <w:gridCol w:w="1500"/>
        <w:gridCol w:w="4300"/>
        <w:gridCol w:w="3560"/>
      </w:tblGrid>
      <w:tr>
        <w:trPr>
          <w:tblHeader w:val="true"/>
          <w:cantSplit/>
        </w:trPr>
        <w:tc>
          <w:tcPr>
            <w:tcW w:type="dxa" w:w="1500"/>
            <w:shd w:fill="E8EEF5"/>
            <w:vAlign w:val="center"/>
            <w:tcMar>
              <w:top w:w="80" w:type="dxa"/>
              <w:start w:w="120" w:type="dxa"/>
              <w:bottom w:w="80" w:type="dxa"/>
              <w:end w:w="120" w:type="dxa"/>
            </w:tcMar>
          </w:tcPr>
          <w:p>
            <w:pPr>
              <w:spacing w:after="0" w:line="252" w:lineRule="auto"/>
              <w:jc w:val="center"/>
            </w:pPr>
            <w:r>
              <w:rPr>
                <w:rFonts w:ascii="Calibri" w:hAnsi="Calibri" w:eastAsia="Calibri"/>
                <w:b/>
                <w:color w:val="0B2545"/>
                <w:sz w:val="16"/>
              </w:rPr>
              <w:t>Track</w:t>
            </w:r>
          </w:p>
        </w:tc>
        <w:tc>
          <w:tcPr>
            <w:tcW w:type="dxa" w:w="4300"/>
            <w:shd w:fill="E8EEF5"/>
            <w:vAlign w:val="center"/>
            <w:tcMar>
              <w:top w:w="80" w:type="dxa"/>
              <w:start w:w="120" w:type="dxa"/>
              <w:bottom w:w="80" w:type="dxa"/>
              <w:end w:w="120" w:type="dxa"/>
            </w:tcMar>
          </w:tcPr>
          <w:p>
            <w:pPr>
              <w:spacing w:after="0" w:line="252" w:lineRule="auto"/>
              <w:jc w:val="center"/>
            </w:pPr>
            <w:r>
              <w:rPr>
                <w:rFonts w:ascii="Calibri" w:hAnsi="Calibri" w:eastAsia="Calibri"/>
                <w:b/>
                <w:color w:val="0B2545"/>
                <w:sz w:val="16"/>
              </w:rPr>
              <w:t>Research question</w:t>
            </w:r>
          </w:p>
        </w:tc>
        <w:tc>
          <w:tcPr>
            <w:tcW w:type="dxa" w:w="3560"/>
            <w:shd w:fill="E8EEF5"/>
            <w:vAlign w:val="center"/>
            <w:tcMar>
              <w:top w:w="80" w:type="dxa"/>
              <w:start w:w="120" w:type="dxa"/>
              <w:bottom w:w="80" w:type="dxa"/>
              <w:end w:w="120" w:type="dxa"/>
            </w:tcMar>
          </w:tcPr>
          <w:p>
            <w:pPr>
              <w:spacing w:after="0" w:line="252" w:lineRule="auto"/>
              <w:jc w:val="center"/>
            </w:pPr>
            <w:r>
              <w:rPr>
                <w:rFonts w:ascii="Calibri" w:hAnsi="Calibri" w:eastAsia="Calibri"/>
                <w:b/>
                <w:color w:val="0B2545"/>
                <w:sz w:val="16"/>
              </w:rPr>
              <w:t>Primary contribution</w:t>
            </w:r>
          </w:p>
        </w:tc>
      </w:tr>
      <w:tr>
        <w:trPr>
          <w:cantSplit/>
        </w:trPr>
        <w:tc>
          <w:tcPr>
            <w:tcW w:type="dxa" w:w="15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Soil digital twin</w:t>
            </w:r>
          </w:p>
        </w:tc>
        <w:tc>
          <w:tcPr>
            <w:tcW w:type="dxa" w:w="43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Can a physics-informed multiscale twin improve plot soil-moisture/state estimates?</w:t>
            </w:r>
          </w:p>
        </w:tc>
        <w:tc>
          <w:tcPr>
            <w:tcW w:type="dxa" w:w="35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State estimator, uncertainty and local calibration dataset</w:t>
            </w:r>
          </w:p>
        </w:tc>
      </w:tr>
      <w:tr>
        <w:trPr>
          <w:cantSplit/>
        </w:trPr>
        <w:tc>
          <w:tcPr>
            <w:tcW w:type="dxa" w:w="15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Treatment response</w:t>
            </w:r>
          </w:p>
        </w:tc>
        <w:tc>
          <w:tcPr>
            <w:tcW w:type="dxa" w:w="43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How do mulch/hydrogel/soil practices alter water, temperature, stress and yield?</w:t>
            </w:r>
          </w:p>
        </w:tc>
        <w:tc>
          <w:tcPr>
            <w:tcW w:type="dxa" w:w="35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Controlled Apollo field benchmark and causal/multilevel analysis</w:t>
            </w:r>
          </w:p>
        </w:tc>
      </w:tr>
      <w:tr>
        <w:trPr>
          <w:cantSplit/>
        </w:trPr>
        <w:tc>
          <w:tcPr>
            <w:tcW w:type="dxa" w:w="15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Forecasting</w:t>
            </w:r>
          </w:p>
        </w:tc>
        <w:tc>
          <w:tcPr>
            <w:tcW w:type="dxa" w:w="43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Does multimodal twin state improve dynamic yield and 100-hour risk forecasts?</w:t>
            </w:r>
          </w:p>
        </w:tc>
        <w:tc>
          <w:tcPr>
            <w:tcW w:type="dxa" w:w="35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Horizon-calibrated hybrid forecasting</w:t>
            </w:r>
          </w:p>
        </w:tc>
      </w:tr>
      <w:tr>
        <w:trPr>
          <w:cantSplit/>
        </w:trPr>
        <w:tc>
          <w:tcPr>
            <w:tcW w:type="dxa" w:w="15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Operations</w:t>
            </w:r>
          </w:p>
        </w:tc>
        <w:tc>
          <w:tcPr>
            <w:tcW w:type="dxa" w:w="43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Can event-sourced tasks close the loop between recommendation and measured outcome?</w:t>
            </w:r>
          </w:p>
        </w:tc>
        <w:tc>
          <w:tcPr>
            <w:tcW w:type="dxa" w:w="35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Auditable Sense -&gt; Predict -&gt; Decide -&gt; Act -&gt; Learn architecture</w:t>
            </w:r>
          </w:p>
        </w:tc>
      </w:tr>
      <w:tr>
        <w:trPr>
          <w:cantSplit/>
        </w:trPr>
        <w:tc>
          <w:tcPr>
            <w:tcW w:type="dxa" w:w="15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Robotics docking</w:t>
            </w:r>
          </w:p>
        </w:tc>
        <w:tc>
          <w:tcPr>
            <w:tcW w:type="dxa" w:w="43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Can domain intelligence and ROS2 execution evolve independently through stable contracts?</w:t>
            </w:r>
          </w:p>
        </w:tc>
        <w:tc>
          <w:tcPr>
            <w:tcW w:type="dxa" w:w="35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Mock-first agricultural mission standard and safety classes</w:t>
            </w:r>
          </w:p>
        </w:tc>
      </w:tr>
    </w:tbl>
    <w:p>
      <w:pPr>
        <w:keepNext w:val="0"/>
        <w:spacing w:before="0" w:after="40" w:line="300" w:lineRule="auto"/>
        <w:jc w:val="left"/>
      </w:pPr>
      <w:r>
        <w:rPr>
          <w:rFonts w:ascii="Calibri" w:hAnsi="Calibri" w:eastAsia="Calibri"/>
          <w:b w:val="0"/>
          <w:i w:val="0"/>
          <w:color w:val="111827"/>
          <w:sz w:val="22"/>
        </w:rPr>
      </w:r>
    </w:p>
    <w:p>
      <w:pPr>
        <w:pStyle w:val="Heading2"/>
      </w:pPr>
      <w:r>
        <w:t>19.4 Handover checklist</w:t>
      </w:r>
    </w:p>
    <w:p>
      <w:pPr>
        <w:numPr>
          <w:ilvl w:val="0"/>
          <w:numId w:val="10"/>
        </w:numPr>
        <w:spacing w:after="80" w:line="300" w:lineRule="auto"/>
      </w:pPr>
      <w:r>
        <w:rPr>
          <w:rFonts w:ascii="Calibri" w:hAnsi="Calibri" w:eastAsia="Calibri"/>
          <w:color w:val="111827"/>
          <w:sz w:val="22"/>
        </w:rPr>
        <w:t>Scope, crop packs, owners and domain reviewers approved.</w:t>
      </w:r>
    </w:p>
    <w:p>
      <w:pPr>
        <w:numPr>
          <w:ilvl w:val="0"/>
          <w:numId w:val="10"/>
        </w:numPr>
        <w:spacing w:after="80" w:line="300" w:lineRule="auto"/>
      </w:pPr>
      <w:r>
        <w:rPr>
          <w:rFonts w:ascii="Calibri" w:hAnsi="Calibri" w:eastAsia="Calibri"/>
          <w:color w:val="111827"/>
          <w:sz w:val="22"/>
        </w:rPr>
        <w:t>Repository protections, environments, secrets handling and CI documented.</w:t>
      </w:r>
    </w:p>
    <w:p>
      <w:pPr>
        <w:numPr>
          <w:ilvl w:val="0"/>
          <w:numId w:val="10"/>
        </w:numPr>
        <w:spacing w:after="80" w:line="300" w:lineRule="auto"/>
      </w:pPr>
      <w:r>
        <w:rPr>
          <w:rFonts w:ascii="Calibri" w:hAnsi="Calibri" w:eastAsia="Calibri"/>
          <w:color w:val="111827"/>
          <w:sz w:val="22"/>
        </w:rPr>
        <w:t>Entity/API/mission contracts versioned and published.</w:t>
      </w:r>
    </w:p>
    <w:p>
      <w:pPr>
        <w:numPr>
          <w:ilvl w:val="0"/>
          <w:numId w:val="10"/>
        </w:numPr>
        <w:spacing w:after="80" w:line="300" w:lineRule="auto"/>
      </w:pPr>
      <w:r>
        <w:rPr>
          <w:rFonts w:ascii="Calibri" w:hAnsi="Calibri" w:eastAsia="Calibri"/>
          <w:color w:val="111827"/>
          <w:sz w:val="22"/>
        </w:rPr>
        <w:t>Pilot geometry, treatment protocol, calibration and sampling SOP approved.</w:t>
      </w:r>
    </w:p>
    <w:p>
      <w:pPr>
        <w:numPr>
          <w:ilvl w:val="0"/>
          <w:numId w:val="10"/>
        </w:numPr>
        <w:spacing w:after="80" w:line="300" w:lineRule="auto"/>
      </w:pPr>
      <w:r>
        <w:rPr>
          <w:rFonts w:ascii="Calibri" w:hAnsi="Calibri" w:eastAsia="Calibri"/>
          <w:color w:val="111827"/>
          <w:sz w:val="22"/>
        </w:rPr>
        <w:t>Public and Apollo data licences/consents recorded.</w:t>
      </w:r>
    </w:p>
    <w:p>
      <w:pPr>
        <w:numPr>
          <w:ilvl w:val="0"/>
          <w:numId w:val="10"/>
        </w:numPr>
        <w:spacing w:after="80" w:line="300" w:lineRule="auto"/>
      </w:pPr>
      <w:r>
        <w:rPr>
          <w:rFonts w:ascii="Calibri" w:hAnsi="Calibri" w:eastAsia="Calibri"/>
          <w:color w:val="111827"/>
          <w:sz w:val="22"/>
        </w:rPr>
        <w:t>Baselines, evaluation splits, metrics and evidence labels frozen before final training.</w:t>
      </w:r>
    </w:p>
    <w:p>
      <w:pPr>
        <w:numPr>
          <w:ilvl w:val="0"/>
          <w:numId w:val="10"/>
        </w:numPr>
        <w:spacing w:after="80" w:line="300" w:lineRule="auto"/>
      </w:pPr>
      <w:r>
        <w:rPr>
          <w:rFonts w:ascii="Calibri" w:hAnsi="Calibri" w:eastAsia="Calibri"/>
          <w:color w:val="111827"/>
          <w:sz w:val="22"/>
        </w:rPr>
        <w:t>Manual workflow, fault replay and ROS2 mock docking demonstrated.</w:t>
      </w:r>
    </w:p>
    <w:p>
      <w:pPr>
        <w:numPr>
          <w:ilvl w:val="0"/>
          <w:numId w:val="10"/>
        </w:numPr>
        <w:spacing w:after="80" w:line="300" w:lineRule="auto"/>
      </w:pPr>
      <w:r>
        <w:rPr>
          <w:rFonts w:ascii="Calibri" w:hAnsi="Calibri" w:eastAsia="Calibri"/>
          <w:color w:val="111827"/>
          <w:sz w:val="22"/>
        </w:rPr>
        <w:t>Release, model/data cards, limitations, safety and next-season backlog accepted.</w:t>
      </w:r>
    </w:p>
    <w:p>
      <w:pPr>
        <w:pStyle w:val="Heading1"/>
      </w:pPr>
      <w:r>
        <w:t>Appendix A. Minimum data schemas</w:t>
      </w:r>
    </w:p>
    <w:p>
      <w:pPr>
        <w:pStyle w:val="Heading2"/>
      </w:pPr>
      <w:r>
        <w:t>A.1 Soil observation</w:t>
      </w:r>
    </w:p>
    <w:tbl>
      <w:tblPr>
        <w:tblStyle w:val="TableGrid"/>
        <w:tblW w:type="dxa" w:w="9360"/>
        <w:jc w:val="left"/>
        <w:tblLayout w:type="fixed"/>
        <w:tblLook w:firstColumn="1" w:firstRow="1" w:lastColumn="0" w:lastRow="0" w:noHBand="0" w:noVBand="1" w:val="04A0"/>
        <w:tblInd w:w="120" w:type="dxa"/>
      </w:tblPr>
      <w:tblGrid>
        <w:gridCol w:w="2300"/>
        <w:gridCol w:w="3000"/>
        <w:gridCol w:w="4060"/>
      </w:tblGrid>
      <w:tr>
        <w:trPr>
          <w:tblHeader w:val="true"/>
          <w:cantSplit/>
        </w:trPr>
        <w:tc>
          <w:tcPr>
            <w:tcW w:type="dxa" w:w="2300"/>
            <w:shd w:fill="E8EEF5"/>
            <w:vAlign w:val="center"/>
            <w:tcMar>
              <w:top w:w="80" w:type="dxa"/>
              <w:start w:w="120" w:type="dxa"/>
              <w:bottom w:w="80" w:type="dxa"/>
              <w:end w:w="120" w:type="dxa"/>
            </w:tcMar>
          </w:tcPr>
          <w:p>
            <w:pPr>
              <w:spacing w:after="0" w:line="252" w:lineRule="auto"/>
              <w:jc w:val="center"/>
            </w:pPr>
            <w:r>
              <w:rPr>
                <w:rFonts w:ascii="Calibri" w:hAnsi="Calibri" w:eastAsia="Calibri"/>
                <w:b/>
                <w:color w:val="0B2545"/>
                <w:sz w:val="16"/>
              </w:rPr>
              <w:t>Field</w:t>
            </w:r>
          </w:p>
        </w:tc>
        <w:tc>
          <w:tcPr>
            <w:tcW w:type="dxa" w:w="3000"/>
            <w:shd w:fill="E8EEF5"/>
            <w:vAlign w:val="center"/>
            <w:tcMar>
              <w:top w:w="80" w:type="dxa"/>
              <w:start w:w="120" w:type="dxa"/>
              <w:bottom w:w="80" w:type="dxa"/>
              <w:end w:w="120" w:type="dxa"/>
            </w:tcMar>
          </w:tcPr>
          <w:p>
            <w:pPr>
              <w:spacing w:after="0" w:line="252" w:lineRule="auto"/>
              <w:jc w:val="center"/>
            </w:pPr>
            <w:r>
              <w:rPr>
                <w:rFonts w:ascii="Calibri" w:hAnsi="Calibri" w:eastAsia="Calibri"/>
                <w:b/>
                <w:color w:val="0B2545"/>
                <w:sz w:val="16"/>
              </w:rPr>
              <w:t>Type / example</w:t>
            </w:r>
          </w:p>
        </w:tc>
        <w:tc>
          <w:tcPr>
            <w:tcW w:type="dxa" w:w="4060"/>
            <w:shd w:fill="E8EEF5"/>
            <w:vAlign w:val="center"/>
            <w:tcMar>
              <w:top w:w="80" w:type="dxa"/>
              <w:start w:w="120" w:type="dxa"/>
              <w:bottom w:w="80" w:type="dxa"/>
              <w:end w:w="120" w:type="dxa"/>
            </w:tcMar>
          </w:tcPr>
          <w:p>
            <w:pPr>
              <w:spacing w:after="0" w:line="252" w:lineRule="auto"/>
              <w:jc w:val="center"/>
            </w:pPr>
            <w:r>
              <w:rPr>
                <w:rFonts w:ascii="Calibri" w:hAnsi="Calibri" w:eastAsia="Calibri"/>
                <w:b/>
                <w:color w:val="0B2545"/>
                <w:sz w:val="16"/>
              </w:rPr>
              <w:t>Rule</w:t>
            </w:r>
          </w:p>
        </w:tc>
      </w:tr>
      <w:tr>
        <w:trPr>
          <w:cantSplit/>
        </w:trPr>
        <w:tc>
          <w:tcPr>
            <w:tcW w:type="dxa" w:w="23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observation_id</w:t>
            </w:r>
          </w:p>
        </w:tc>
        <w:tc>
          <w:tcPr>
            <w:tcW w:type="dxa" w:w="30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UUID</w:t>
            </w:r>
          </w:p>
        </w:tc>
        <w:tc>
          <w:tcPr>
            <w:tcW w:type="dxa" w:w="40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Globally unique and immutable</w:t>
            </w:r>
          </w:p>
        </w:tc>
      </w:tr>
      <w:tr>
        <w:trPr>
          <w:cantSplit/>
        </w:trPr>
        <w:tc>
          <w:tcPr>
            <w:tcW w:type="dxa" w:w="23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entity_id</w:t>
            </w:r>
          </w:p>
        </w:tc>
        <w:tc>
          <w:tcPr>
            <w:tcW w:type="dxa" w:w="30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plot/zone/plant-row ID</w:t>
            </w:r>
          </w:p>
        </w:tc>
        <w:tc>
          <w:tcPr>
            <w:tcW w:type="dxa" w:w="40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Stable Apollo identity</w:t>
            </w:r>
          </w:p>
        </w:tc>
      </w:tr>
      <w:tr>
        <w:trPr>
          <w:cantSplit/>
        </w:trPr>
        <w:tc>
          <w:tcPr>
            <w:tcW w:type="dxa" w:w="23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observed_property</w:t>
            </w:r>
          </w:p>
        </w:tc>
        <w:tc>
          <w:tcPr>
            <w:tcW w:type="dxa" w:w="30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soil_moisture_vwc</w:t>
            </w:r>
          </w:p>
        </w:tc>
        <w:tc>
          <w:tcPr>
            <w:tcW w:type="dxa" w:w="40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Controlled vocabulary</w:t>
            </w:r>
          </w:p>
        </w:tc>
      </w:tr>
      <w:tr>
        <w:trPr>
          <w:cantSplit/>
        </w:trPr>
        <w:tc>
          <w:tcPr>
            <w:tcW w:type="dxa" w:w="23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value / unit</w:t>
            </w:r>
          </w:p>
        </w:tc>
        <w:tc>
          <w:tcPr>
            <w:tcW w:type="dxa" w:w="30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0.214 / m3 m-3</w:t>
            </w:r>
          </w:p>
        </w:tc>
        <w:tc>
          <w:tcPr>
            <w:tcW w:type="dxa" w:w="40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Unit required; raw value retained</w:t>
            </w:r>
          </w:p>
        </w:tc>
      </w:tr>
      <w:tr>
        <w:trPr>
          <w:cantSplit/>
        </w:trPr>
        <w:tc>
          <w:tcPr>
            <w:tcW w:type="dxa" w:w="23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depth_cm</w:t>
            </w:r>
          </w:p>
        </w:tc>
        <w:tc>
          <w:tcPr>
            <w:tcW w:type="dxa" w:w="30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20</w:t>
            </w:r>
          </w:p>
        </w:tc>
        <w:tc>
          <w:tcPr>
            <w:tcW w:type="dxa" w:w="40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Required for depth-dependent soil data</w:t>
            </w:r>
          </w:p>
        </w:tc>
      </w:tr>
      <w:tr>
        <w:trPr>
          <w:cantSplit/>
        </w:trPr>
        <w:tc>
          <w:tcPr>
            <w:tcW w:type="dxa" w:w="23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location</w:t>
            </w:r>
          </w:p>
        </w:tc>
        <w:tc>
          <w:tcPr>
            <w:tcW w:type="dxa" w:w="30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point/polygon reference</w:t>
            </w:r>
          </w:p>
        </w:tc>
        <w:tc>
          <w:tcPr>
            <w:tcW w:type="dxa" w:w="40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Coordinate reference recorded</w:t>
            </w:r>
          </w:p>
        </w:tc>
      </w:tr>
      <w:tr>
        <w:trPr>
          <w:cantSplit/>
        </w:trPr>
        <w:tc>
          <w:tcPr>
            <w:tcW w:type="dxa" w:w="23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phenomenon_time</w:t>
            </w:r>
          </w:p>
        </w:tc>
        <w:tc>
          <w:tcPr>
            <w:tcW w:type="dxa" w:w="30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ISO-8601 with timezone</w:t>
            </w:r>
          </w:p>
        </w:tc>
        <w:tc>
          <w:tcPr>
            <w:tcW w:type="dxa" w:w="40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Actual acquisition time</w:t>
            </w:r>
          </w:p>
        </w:tc>
      </w:tr>
      <w:tr>
        <w:trPr>
          <w:cantSplit/>
        </w:trPr>
        <w:tc>
          <w:tcPr>
            <w:tcW w:type="dxa" w:w="23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result_time</w:t>
            </w:r>
          </w:p>
        </w:tc>
        <w:tc>
          <w:tcPr>
            <w:tcW w:type="dxa" w:w="30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ISO-8601</w:t>
            </w:r>
          </w:p>
        </w:tc>
        <w:tc>
          <w:tcPr>
            <w:tcW w:type="dxa" w:w="40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Arrival/processing time</w:t>
            </w:r>
          </w:p>
        </w:tc>
      </w:tr>
      <w:tr>
        <w:trPr>
          <w:cantSplit/>
        </w:trPr>
        <w:tc>
          <w:tcPr>
            <w:tcW w:type="dxa" w:w="23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sensor/sample</w:t>
            </w:r>
          </w:p>
        </w:tc>
        <w:tc>
          <w:tcPr>
            <w:tcW w:type="dxa" w:w="30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device/sample/lab method ID</w:t>
            </w:r>
          </w:p>
        </w:tc>
        <w:tc>
          <w:tcPr>
            <w:tcW w:type="dxa" w:w="40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Calibration/method traceability</w:t>
            </w:r>
          </w:p>
        </w:tc>
      </w:tr>
      <w:tr>
        <w:trPr>
          <w:cantSplit/>
        </w:trPr>
        <w:tc>
          <w:tcPr>
            <w:tcW w:type="dxa" w:w="23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quality</w:t>
            </w:r>
          </w:p>
        </w:tc>
        <w:tc>
          <w:tcPr>
            <w:tcW w:type="dxa" w:w="30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valid/suspect/corrected/rejected</w:t>
            </w:r>
          </w:p>
        </w:tc>
        <w:tc>
          <w:tcPr>
            <w:tcW w:type="dxa" w:w="40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No silent correction</w:t>
            </w:r>
          </w:p>
        </w:tc>
      </w:tr>
      <w:tr>
        <w:trPr>
          <w:cantSplit/>
        </w:trPr>
        <w:tc>
          <w:tcPr>
            <w:tcW w:type="dxa" w:w="23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provenance</w:t>
            </w:r>
          </w:p>
        </w:tc>
        <w:tc>
          <w:tcPr>
            <w:tcW w:type="dxa" w:w="30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source/version/operator</w:t>
            </w:r>
          </w:p>
        </w:tc>
        <w:tc>
          <w:tcPr>
            <w:tcW w:type="dxa" w:w="40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Required for audit and publication</w:t>
            </w:r>
          </w:p>
        </w:tc>
      </w:tr>
    </w:tbl>
    <w:p>
      <w:pPr>
        <w:keepNext w:val="0"/>
        <w:spacing w:before="0" w:after="40" w:line="300" w:lineRule="auto"/>
        <w:jc w:val="left"/>
      </w:pPr>
      <w:r>
        <w:rPr>
          <w:rFonts w:ascii="Calibri" w:hAnsi="Calibri" w:eastAsia="Calibri"/>
          <w:b w:val="0"/>
          <w:i w:val="0"/>
          <w:color w:val="111827"/>
          <w:sz w:val="22"/>
        </w:rPr>
      </w:r>
    </w:p>
    <w:p>
      <w:pPr>
        <w:pStyle w:val="Heading2"/>
      </w:pPr>
      <w:r>
        <w:t>A.2 Prediction / alert</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cantSplit/>
        </w:trPr>
        <w:tc>
          <w:tcPr>
            <w:tcW w:type="dxa" w:w="3000"/>
            <w:shd w:fill="E8EEF5"/>
            <w:vAlign w:val="center"/>
            <w:tcMar>
              <w:top w:w="80" w:type="dxa"/>
              <w:start w:w="120" w:type="dxa"/>
              <w:bottom w:w="80" w:type="dxa"/>
              <w:end w:w="120" w:type="dxa"/>
            </w:tcMar>
          </w:tcPr>
          <w:p>
            <w:pPr>
              <w:spacing w:after="0" w:line="252" w:lineRule="auto"/>
              <w:jc w:val="center"/>
            </w:pPr>
            <w:r>
              <w:rPr>
                <w:rFonts w:ascii="Calibri" w:hAnsi="Calibri" w:eastAsia="Calibri"/>
                <w:b/>
                <w:color w:val="0B2545"/>
                <w:sz w:val="17"/>
              </w:rPr>
              <w:t>Field</w:t>
            </w:r>
          </w:p>
        </w:tc>
        <w:tc>
          <w:tcPr>
            <w:tcW w:type="dxa" w:w="6360"/>
            <w:shd w:fill="E8EEF5"/>
            <w:vAlign w:val="center"/>
            <w:tcMar>
              <w:top w:w="80" w:type="dxa"/>
              <w:start w:w="120" w:type="dxa"/>
              <w:bottom w:w="80" w:type="dxa"/>
              <w:end w:w="120" w:type="dxa"/>
            </w:tcMar>
          </w:tcPr>
          <w:p>
            <w:pPr>
              <w:spacing w:after="0" w:line="252" w:lineRule="auto"/>
              <w:jc w:val="center"/>
            </w:pPr>
            <w:r>
              <w:rPr>
                <w:rFonts w:ascii="Calibri" w:hAnsi="Calibri" w:eastAsia="Calibri"/>
                <w:b/>
                <w:color w:val="0B2545"/>
                <w:sz w:val="17"/>
              </w:rPr>
              <w:t>Purpose</w:t>
            </w:r>
          </w:p>
        </w:tc>
      </w:tr>
      <w:tr>
        <w:trPr>
          <w:cantSplit/>
        </w:trPr>
        <w:tc>
          <w:tcPr>
            <w:tcW w:type="dxa" w:w="3000"/>
            <w:vAlign w:val="center"/>
            <w:tcMar>
              <w:top w:w="80" w:type="dxa"/>
              <w:start w:w="120" w:type="dxa"/>
              <w:bottom w:w="80" w:type="dxa"/>
              <w:end w:w="120" w:type="dxa"/>
            </w:tcMar>
          </w:tcPr>
          <w:p>
            <w:pPr>
              <w:spacing w:after="0" w:line="259" w:lineRule="auto"/>
              <w:jc w:val="left"/>
            </w:pPr>
            <w:r>
              <w:rPr>
                <w:rFonts w:ascii="Calibri" w:hAnsi="Calibri" w:eastAsia="Calibri"/>
                <w:b/>
                <w:color w:val="111827"/>
                <w:sz w:val="17"/>
              </w:rPr>
              <w:t>prediction_id / target_id</w:t>
            </w:r>
          </w:p>
        </w:tc>
        <w:tc>
          <w:tcPr>
            <w:tcW w:type="dxa" w:w="63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Stable prediction and farm entity references</w:t>
            </w:r>
          </w:p>
        </w:tc>
      </w:tr>
      <w:tr>
        <w:trPr>
          <w:cantSplit/>
        </w:trPr>
        <w:tc>
          <w:tcPr>
            <w:tcW w:type="dxa" w:w="3000"/>
            <w:vAlign w:val="center"/>
            <w:tcMar>
              <w:top w:w="80" w:type="dxa"/>
              <w:start w:w="120" w:type="dxa"/>
              <w:bottom w:w="80" w:type="dxa"/>
              <w:end w:w="120" w:type="dxa"/>
            </w:tcMar>
          </w:tcPr>
          <w:p>
            <w:pPr>
              <w:spacing w:after="0" w:line="259" w:lineRule="auto"/>
              <w:jc w:val="left"/>
            </w:pPr>
            <w:r>
              <w:rPr>
                <w:rFonts w:ascii="Calibri" w:hAnsi="Calibri" w:eastAsia="Calibri"/>
                <w:b/>
                <w:color w:val="111827"/>
                <w:sz w:val="17"/>
              </w:rPr>
              <w:t>variable and horizon</w:t>
            </w:r>
          </w:p>
        </w:tc>
        <w:tc>
          <w:tcPr>
            <w:tcW w:type="dxa" w:w="63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What is predicted and for which valid time/window</w:t>
            </w:r>
          </w:p>
        </w:tc>
      </w:tr>
      <w:tr>
        <w:trPr>
          <w:cantSplit/>
        </w:trPr>
        <w:tc>
          <w:tcPr>
            <w:tcW w:type="dxa" w:w="3000"/>
            <w:vAlign w:val="center"/>
            <w:tcMar>
              <w:top w:w="80" w:type="dxa"/>
              <w:start w:w="120" w:type="dxa"/>
              <w:bottom w:w="80" w:type="dxa"/>
              <w:end w:w="120" w:type="dxa"/>
            </w:tcMar>
          </w:tcPr>
          <w:p>
            <w:pPr>
              <w:spacing w:after="0" w:line="259" w:lineRule="auto"/>
              <w:jc w:val="left"/>
            </w:pPr>
            <w:r>
              <w:rPr>
                <w:rFonts w:ascii="Calibri" w:hAnsi="Calibri" w:eastAsia="Calibri"/>
                <w:b/>
                <w:color w:val="111827"/>
                <w:sz w:val="17"/>
              </w:rPr>
              <w:t>point / interval / probability</w:t>
            </w:r>
          </w:p>
        </w:tc>
        <w:tc>
          <w:tcPr>
            <w:tcW w:type="dxa" w:w="63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Value plus calibrated uncertainty</w:t>
            </w:r>
          </w:p>
        </w:tc>
      </w:tr>
      <w:tr>
        <w:trPr>
          <w:cantSplit/>
        </w:trPr>
        <w:tc>
          <w:tcPr>
            <w:tcW w:type="dxa" w:w="3000"/>
            <w:vAlign w:val="center"/>
            <w:tcMar>
              <w:top w:w="80" w:type="dxa"/>
              <w:start w:w="120" w:type="dxa"/>
              <w:bottom w:w="80" w:type="dxa"/>
              <w:end w:w="120" w:type="dxa"/>
            </w:tcMar>
          </w:tcPr>
          <w:p>
            <w:pPr>
              <w:spacing w:after="0" w:line="259" w:lineRule="auto"/>
              <w:jc w:val="left"/>
            </w:pPr>
            <w:r>
              <w:rPr>
                <w:rFonts w:ascii="Calibri" w:hAnsi="Calibri" w:eastAsia="Calibri"/>
                <w:b/>
                <w:color w:val="111827"/>
                <w:sz w:val="17"/>
              </w:rPr>
              <w:t>model/rule/data version</w:t>
            </w:r>
          </w:p>
        </w:tc>
        <w:tc>
          <w:tcPr>
            <w:tcW w:type="dxa" w:w="63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Reproducibility and rollback</w:t>
            </w:r>
          </w:p>
        </w:tc>
      </w:tr>
      <w:tr>
        <w:trPr>
          <w:cantSplit/>
        </w:trPr>
        <w:tc>
          <w:tcPr>
            <w:tcW w:type="dxa" w:w="3000"/>
            <w:vAlign w:val="center"/>
            <w:tcMar>
              <w:top w:w="80" w:type="dxa"/>
              <w:start w:w="120" w:type="dxa"/>
              <w:bottom w:w="80" w:type="dxa"/>
              <w:end w:w="120" w:type="dxa"/>
            </w:tcMar>
          </w:tcPr>
          <w:p>
            <w:pPr>
              <w:spacing w:after="0" w:line="259" w:lineRule="auto"/>
              <w:jc w:val="left"/>
            </w:pPr>
            <w:r>
              <w:rPr>
                <w:rFonts w:ascii="Calibri" w:hAnsi="Calibri" w:eastAsia="Calibri"/>
                <w:b/>
                <w:color w:val="111827"/>
                <w:sz w:val="17"/>
              </w:rPr>
              <w:t>feature snapshot</w:t>
            </w:r>
          </w:p>
        </w:tc>
        <w:tc>
          <w:tcPr>
            <w:tcW w:type="dxa" w:w="63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Evidence used at prediction time</w:t>
            </w:r>
          </w:p>
        </w:tc>
      </w:tr>
      <w:tr>
        <w:trPr>
          <w:cantSplit/>
        </w:trPr>
        <w:tc>
          <w:tcPr>
            <w:tcW w:type="dxa" w:w="3000"/>
            <w:vAlign w:val="center"/>
            <w:tcMar>
              <w:top w:w="80" w:type="dxa"/>
              <w:start w:w="120" w:type="dxa"/>
              <w:bottom w:w="80" w:type="dxa"/>
              <w:end w:w="120" w:type="dxa"/>
            </w:tcMar>
          </w:tcPr>
          <w:p>
            <w:pPr>
              <w:spacing w:after="0" w:line="259" w:lineRule="auto"/>
              <w:jc w:val="left"/>
            </w:pPr>
            <w:r>
              <w:rPr>
                <w:rFonts w:ascii="Calibri" w:hAnsi="Calibri" w:eastAsia="Calibri"/>
                <w:b/>
                <w:color w:val="111827"/>
                <w:sz w:val="17"/>
              </w:rPr>
              <w:t>explanation</w:t>
            </w:r>
          </w:p>
        </w:tc>
        <w:tc>
          <w:tcPr>
            <w:tcW w:type="dxa" w:w="63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Dominant drivers, thresholds and limitations</w:t>
            </w:r>
          </w:p>
        </w:tc>
      </w:tr>
      <w:tr>
        <w:trPr>
          <w:cantSplit/>
        </w:trPr>
        <w:tc>
          <w:tcPr>
            <w:tcW w:type="dxa" w:w="3000"/>
            <w:vAlign w:val="center"/>
            <w:tcMar>
              <w:top w:w="80" w:type="dxa"/>
              <w:start w:w="120" w:type="dxa"/>
              <w:bottom w:w="80" w:type="dxa"/>
              <w:end w:w="120" w:type="dxa"/>
            </w:tcMar>
          </w:tcPr>
          <w:p>
            <w:pPr>
              <w:spacing w:after="0" w:line="259" w:lineRule="auto"/>
              <w:jc w:val="left"/>
            </w:pPr>
            <w:r>
              <w:rPr>
                <w:rFonts w:ascii="Calibri" w:hAnsi="Calibri" w:eastAsia="Calibri"/>
                <w:b/>
                <w:color w:val="111827"/>
                <w:sz w:val="17"/>
              </w:rPr>
              <w:t>severity / actionability</w:t>
            </w:r>
          </w:p>
        </w:tc>
        <w:tc>
          <w:tcPr>
            <w:tcW w:type="dxa" w:w="63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Alert ranking separate from raw probability</w:t>
            </w:r>
          </w:p>
        </w:tc>
      </w:tr>
      <w:tr>
        <w:trPr>
          <w:cantSplit/>
        </w:trPr>
        <w:tc>
          <w:tcPr>
            <w:tcW w:type="dxa" w:w="3000"/>
            <w:vAlign w:val="center"/>
            <w:tcMar>
              <w:top w:w="80" w:type="dxa"/>
              <w:start w:w="120" w:type="dxa"/>
              <w:bottom w:w="80" w:type="dxa"/>
              <w:end w:w="120" w:type="dxa"/>
            </w:tcMar>
          </w:tcPr>
          <w:p>
            <w:pPr>
              <w:spacing w:after="0" w:line="259" w:lineRule="auto"/>
              <w:jc w:val="left"/>
            </w:pPr>
            <w:r>
              <w:rPr>
                <w:rFonts w:ascii="Calibri" w:hAnsi="Calibri" w:eastAsia="Calibri"/>
                <w:b/>
                <w:color w:val="111827"/>
                <w:sz w:val="17"/>
              </w:rPr>
              <w:t>recommendation / alternatives</w:t>
            </w:r>
          </w:p>
        </w:tc>
        <w:tc>
          <w:tcPr>
            <w:tcW w:type="dxa" w:w="63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Proposed response and acceptable alternatives</w:t>
            </w:r>
          </w:p>
        </w:tc>
      </w:tr>
      <w:tr>
        <w:trPr>
          <w:cantSplit/>
        </w:trPr>
        <w:tc>
          <w:tcPr>
            <w:tcW w:type="dxa" w:w="3000"/>
            <w:vAlign w:val="center"/>
            <w:tcMar>
              <w:top w:w="80" w:type="dxa"/>
              <w:start w:w="120" w:type="dxa"/>
              <w:bottom w:w="80" w:type="dxa"/>
              <w:end w:w="120" w:type="dxa"/>
            </w:tcMar>
          </w:tcPr>
          <w:p>
            <w:pPr>
              <w:spacing w:after="0" w:line="259" w:lineRule="auto"/>
              <w:jc w:val="left"/>
            </w:pPr>
            <w:r>
              <w:rPr>
                <w:rFonts w:ascii="Calibri" w:hAnsi="Calibri" w:eastAsia="Calibri"/>
                <w:b/>
                <w:color w:val="111827"/>
                <w:sz w:val="17"/>
              </w:rPr>
              <w:t>approval / expiry</w:t>
            </w:r>
          </w:p>
        </w:tc>
        <w:tc>
          <w:tcPr>
            <w:tcW w:type="dxa" w:w="63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Authority requirement and last useful time</w:t>
            </w:r>
          </w:p>
        </w:tc>
      </w:tr>
      <w:tr>
        <w:trPr>
          <w:cantSplit/>
        </w:trPr>
        <w:tc>
          <w:tcPr>
            <w:tcW w:type="dxa" w:w="3000"/>
            <w:vAlign w:val="center"/>
            <w:tcMar>
              <w:top w:w="80" w:type="dxa"/>
              <w:start w:w="120" w:type="dxa"/>
              <w:bottom w:w="80" w:type="dxa"/>
              <w:end w:w="120" w:type="dxa"/>
            </w:tcMar>
          </w:tcPr>
          <w:p>
            <w:pPr>
              <w:spacing w:after="0" w:line="259" w:lineRule="auto"/>
              <w:jc w:val="left"/>
            </w:pPr>
            <w:r>
              <w:rPr>
                <w:rFonts w:ascii="Calibri" w:hAnsi="Calibri" w:eastAsia="Calibri"/>
                <w:b/>
                <w:color w:val="111827"/>
                <w:sz w:val="17"/>
              </w:rPr>
              <w:t>acknowledgement / task link</w:t>
            </w:r>
          </w:p>
        </w:tc>
        <w:tc>
          <w:tcPr>
            <w:tcW w:type="dxa" w:w="63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Operational response and outcome trace</w:t>
            </w:r>
          </w:p>
        </w:tc>
      </w:tr>
    </w:tbl>
    <w:p>
      <w:pPr>
        <w:keepNext w:val="0"/>
        <w:spacing w:before="0" w:after="40" w:line="300" w:lineRule="auto"/>
        <w:jc w:val="left"/>
      </w:pPr>
      <w:r>
        <w:rPr>
          <w:rFonts w:ascii="Calibri" w:hAnsi="Calibri" w:eastAsia="Calibri"/>
          <w:b w:val="0"/>
          <w:i w:val="0"/>
          <w:color w:val="111827"/>
          <w:sz w:val="22"/>
        </w:rPr>
      </w:r>
    </w:p>
    <w:p>
      <w:pPr>
        <w:pStyle w:val="Heading1"/>
      </w:pPr>
      <w:r>
        <w:t>Appendix B. Interface catalogue</w:t>
      </w:r>
    </w:p>
    <w:tbl>
      <w:tblPr>
        <w:tblStyle w:val="TableGrid"/>
        <w:tblW w:type="dxa" w:w="9360"/>
        <w:jc w:val="left"/>
        <w:tblLayout w:type="fixed"/>
        <w:tblLook w:firstColumn="1" w:firstRow="1" w:lastColumn="0" w:lastRow="0" w:noHBand="0" w:noVBand="1" w:val="04A0"/>
        <w:tblInd w:w="120" w:type="dxa"/>
      </w:tblPr>
      <w:tblGrid>
        <w:gridCol w:w="1400"/>
        <w:gridCol w:w="5500"/>
        <w:gridCol w:w="2460"/>
      </w:tblGrid>
      <w:tr>
        <w:trPr>
          <w:tblHeader w:val="true"/>
          <w:cantSplit/>
        </w:trPr>
        <w:tc>
          <w:tcPr>
            <w:tcW w:type="dxa" w:w="1400"/>
            <w:shd w:fill="E8EEF5"/>
            <w:vAlign w:val="center"/>
            <w:tcMar>
              <w:top w:w="80" w:type="dxa"/>
              <w:start w:w="120" w:type="dxa"/>
              <w:bottom w:w="80" w:type="dxa"/>
              <w:end w:w="120" w:type="dxa"/>
            </w:tcMar>
          </w:tcPr>
          <w:p>
            <w:pPr>
              <w:spacing w:after="0" w:line="252" w:lineRule="auto"/>
              <w:jc w:val="center"/>
            </w:pPr>
            <w:r>
              <w:rPr>
                <w:rFonts w:ascii="Calibri" w:hAnsi="Calibri" w:eastAsia="Calibri"/>
                <w:b/>
                <w:color w:val="0B2545"/>
                <w:sz w:val="17"/>
              </w:rPr>
              <w:t>Interface</w:t>
            </w:r>
          </w:p>
        </w:tc>
        <w:tc>
          <w:tcPr>
            <w:tcW w:type="dxa" w:w="5500"/>
            <w:shd w:fill="E8EEF5"/>
            <w:vAlign w:val="center"/>
            <w:tcMar>
              <w:top w:w="80" w:type="dxa"/>
              <w:start w:w="120" w:type="dxa"/>
              <w:bottom w:w="80" w:type="dxa"/>
              <w:end w:w="120" w:type="dxa"/>
            </w:tcMar>
          </w:tcPr>
          <w:p>
            <w:pPr>
              <w:spacing w:after="0" w:line="252" w:lineRule="auto"/>
              <w:jc w:val="center"/>
            </w:pPr>
            <w:r>
              <w:rPr>
                <w:rFonts w:ascii="Calibri" w:hAnsi="Calibri" w:eastAsia="Calibri"/>
                <w:b/>
                <w:color w:val="0B2545"/>
                <w:sz w:val="17"/>
              </w:rPr>
              <w:t>Example</w:t>
            </w:r>
          </w:p>
        </w:tc>
        <w:tc>
          <w:tcPr>
            <w:tcW w:type="dxa" w:w="2460"/>
            <w:shd w:fill="E8EEF5"/>
            <w:vAlign w:val="center"/>
            <w:tcMar>
              <w:top w:w="80" w:type="dxa"/>
              <w:start w:w="120" w:type="dxa"/>
              <w:bottom w:w="80" w:type="dxa"/>
              <w:end w:w="120" w:type="dxa"/>
            </w:tcMar>
          </w:tcPr>
          <w:p>
            <w:pPr>
              <w:spacing w:after="0" w:line="252" w:lineRule="auto"/>
              <w:jc w:val="center"/>
            </w:pPr>
            <w:r>
              <w:rPr>
                <w:rFonts w:ascii="Calibri" w:hAnsi="Calibri" w:eastAsia="Calibri"/>
                <w:b/>
                <w:color w:val="0B2545"/>
                <w:sz w:val="17"/>
              </w:rPr>
              <w:t>Owner</w:t>
            </w:r>
          </w:p>
        </w:tc>
      </w:tr>
      <w:tr>
        <w:trPr>
          <w:cantSplit/>
        </w:trPr>
        <w:tc>
          <w:tcPr>
            <w:tcW w:type="dxa" w:w="14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REST</w:t>
            </w:r>
          </w:p>
        </w:tc>
        <w:tc>
          <w:tcPr>
            <w:tcW w:type="dxa" w:w="55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GET /v1/farms/{farm_id}/twin</w:t>
            </w:r>
          </w:p>
        </w:tc>
        <w:tc>
          <w:tcPr>
            <w:tcW w:type="dxa" w:w="24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AgriGuard platform</w:t>
            </w:r>
          </w:p>
        </w:tc>
      </w:tr>
      <w:tr>
        <w:trPr>
          <w:cantSplit/>
        </w:trPr>
        <w:tc>
          <w:tcPr>
            <w:tcW w:type="dxa" w:w="14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REST</w:t>
            </w:r>
          </w:p>
        </w:tc>
        <w:tc>
          <w:tcPr>
            <w:tcW w:type="dxa" w:w="55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GET /v1/fields/{field_id}/command-window?hours=100</w:t>
            </w:r>
          </w:p>
        </w:tc>
        <w:tc>
          <w:tcPr>
            <w:tcW w:type="dxa" w:w="24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Forecast/decision workstream</w:t>
            </w:r>
          </w:p>
        </w:tc>
      </w:tr>
      <w:tr>
        <w:trPr>
          <w:cantSplit/>
        </w:trPr>
        <w:tc>
          <w:tcPr>
            <w:tcW w:type="dxa" w:w="14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REST</w:t>
            </w:r>
          </w:p>
        </w:tc>
        <w:tc>
          <w:tcPr>
            <w:tcW w:type="dxa" w:w="55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POST /v1/plots/{plot_id}/observations</w:t>
            </w:r>
          </w:p>
        </w:tc>
        <w:tc>
          <w:tcPr>
            <w:tcW w:type="dxa" w:w="24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Soil/IoT workstream</w:t>
            </w:r>
          </w:p>
        </w:tc>
      </w:tr>
      <w:tr>
        <w:trPr>
          <w:cantSplit/>
        </w:trPr>
        <w:tc>
          <w:tcPr>
            <w:tcW w:type="dxa" w:w="14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REST</w:t>
            </w:r>
          </w:p>
        </w:tc>
        <w:tc>
          <w:tcPr>
            <w:tcW w:type="dxa" w:w="55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POST /v1/tasks/{task_id}/verify</w:t>
            </w:r>
          </w:p>
        </w:tc>
        <w:tc>
          <w:tcPr>
            <w:tcW w:type="dxa" w:w="24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Platform/operations</w:t>
            </w:r>
          </w:p>
        </w:tc>
      </w:tr>
      <w:tr>
        <w:trPr>
          <w:cantSplit/>
        </w:trPr>
        <w:tc>
          <w:tcPr>
            <w:tcW w:type="dxa" w:w="14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MQTT</w:t>
            </w:r>
          </w:p>
        </w:tc>
        <w:tc>
          <w:tcPr>
            <w:tcW w:type="dxa" w:w="55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apollo/agriguard/v1/farms/{farm}/plots/{plot}/soil</w:t>
            </w:r>
          </w:p>
        </w:tc>
        <w:tc>
          <w:tcPr>
            <w:tcW w:type="dxa" w:w="24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IoT adapter</w:t>
            </w:r>
          </w:p>
        </w:tc>
      </w:tr>
      <w:tr>
        <w:trPr>
          <w:cantSplit/>
        </w:trPr>
        <w:tc>
          <w:tcPr>
            <w:tcW w:type="dxa" w:w="14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MQTT</w:t>
            </w:r>
          </w:p>
        </w:tc>
        <w:tc>
          <w:tcPr>
            <w:tcW w:type="dxa" w:w="55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apollo/agriguard/v1/devices/{device}/health</w:t>
            </w:r>
          </w:p>
        </w:tc>
        <w:tc>
          <w:tcPr>
            <w:tcW w:type="dxa" w:w="24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IoT adapter</w:t>
            </w:r>
          </w:p>
        </w:tc>
      </w:tr>
      <w:tr>
        <w:trPr>
          <w:cantSplit/>
        </w:trPr>
        <w:tc>
          <w:tcPr>
            <w:tcW w:type="dxa" w:w="14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ROS2</w:t>
            </w:r>
          </w:p>
        </w:tc>
        <w:tc>
          <w:tcPr>
            <w:tcW w:type="dxa" w:w="55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/apollo/agriguard/mission_requests</w:t>
            </w:r>
          </w:p>
        </w:tc>
        <w:tc>
          <w:tcPr>
            <w:tcW w:type="dxa" w:w="24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MissionBridge publishes</w:t>
            </w:r>
          </w:p>
        </w:tc>
      </w:tr>
      <w:tr>
        <w:trPr>
          <w:cantSplit/>
        </w:trPr>
        <w:tc>
          <w:tcPr>
            <w:tcW w:type="dxa" w:w="14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ROS2</w:t>
            </w:r>
          </w:p>
        </w:tc>
        <w:tc>
          <w:tcPr>
            <w:tcW w:type="dxa" w:w="55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/apollo/robolink/mission_feedback</w:t>
            </w:r>
          </w:p>
        </w:tc>
        <w:tc>
          <w:tcPr>
            <w:tcW w:type="dxa" w:w="24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RoboLink publishes</w:t>
            </w:r>
          </w:p>
        </w:tc>
      </w:tr>
      <w:tr>
        <w:trPr>
          <w:cantSplit/>
        </w:trPr>
        <w:tc>
          <w:tcPr>
            <w:tcW w:type="dxa" w:w="14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ROS2</w:t>
            </w:r>
          </w:p>
        </w:tc>
        <w:tc>
          <w:tcPr>
            <w:tcW w:type="dxa" w:w="55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/apollo/robolink/mission_results</w:t>
            </w:r>
          </w:p>
        </w:tc>
        <w:tc>
          <w:tcPr>
            <w:tcW w:type="dxa" w:w="24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7"/>
              </w:rPr>
              <w:t>RoboLink publishes; MissionBridge consumes</w:t>
            </w:r>
          </w:p>
        </w:tc>
      </w:tr>
    </w:tbl>
    <w:p>
      <w:pPr>
        <w:keepNext w:val="0"/>
        <w:spacing w:before="0" w:after="40" w:line="300" w:lineRule="auto"/>
        <w:jc w:val="left"/>
      </w:pPr>
      <w:r>
        <w:rPr>
          <w:rFonts w:ascii="Calibri" w:hAnsi="Calibri" w:eastAsia="Calibri"/>
          <w:b w:val="0"/>
          <w:i w:val="0"/>
          <w:color w:val="111827"/>
          <w:sz w:val="22"/>
        </w:rPr>
      </w:r>
    </w:p>
    <w:p>
      <w:pPr>
        <w:pStyle w:val="Heading1"/>
      </w:pPr>
      <w:r>
        <w:t>Appendix C. First 30 days - launch plan</w:t>
      </w:r>
    </w:p>
    <w:tbl>
      <w:tblPr>
        <w:tblStyle w:val="TableGrid"/>
        <w:tblW w:type="dxa" w:w="9360"/>
        <w:jc w:val="left"/>
        <w:tblLayout w:type="fixed"/>
        <w:tblLook w:firstColumn="1" w:firstRow="1" w:lastColumn="0" w:lastRow="0" w:noHBand="0" w:noVBand="1" w:val="04A0"/>
        <w:tblInd w:w="120" w:type="dxa"/>
      </w:tblPr>
      <w:tblGrid>
        <w:gridCol w:w="1000"/>
        <w:gridCol w:w="5500"/>
        <w:gridCol w:w="2860"/>
      </w:tblGrid>
      <w:tr>
        <w:trPr>
          <w:tblHeader w:val="true"/>
          <w:cantSplit/>
        </w:trPr>
        <w:tc>
          <w:tcPr>
            <w:tcW w:type="dxa" w:w="1000"/>
            <w:shd w:fill="E8EEF5"/>
            <w:vAlign w:val="center"/>
            <w:tcMar>
              <w:top w:w="80" w:type="dxa"/>
              <w:start w:w="120" w:type="dxa"/>
              <w:bottom w:w="80" w:type="dxa"/>
              <w:end w:w="120" w:type="dxa"/>
            </w:tcMar>
          </w:tcPr>
          <w:p>
            <w:pPr>
              <w:spacing w:after="0" w:line="252" w:lineRule="auto"/>
              <w:jc w:val="center"/>
            </w:pPr>
            <w:r>
              <w:rPr>
                <w:rFonts w:ascii="Calibri" w:hAnsi="Calibri" w:eastAsia="Calibri"/>
                <w:b/>
                <w:color w:val="0B2545"/>
                <w:sz w:val="16"/>
              </w:rPr>
              <w:t>Week</w:t>
            </w:r>
          </w:p>
        </w:tc>
        <w:tc>
          <w:tcPr>
            <w:tcW w:type="dxa" w:w="5500"/>
            <w:shd w:fill="E8EEF5"/>
            <w:vAlign w:val="center"/>
            <w:tcMar>
              <w:top w:w="80" w:type="dxa"/>
              <w:start w:w="120" w:type="dxa"/>
              <w:bottom w:w="80" w:type="dxa"/>
              <w:end w:w="120" w:type="dxa"/>
            </w:tcMar>
          </w:tcPr>
          <w:p>
            <w:pPr>
              <w:spacing w:after="0" w:line="252" w:lineRule="auto"/>
              <w:jc w:val="center"/>
            </w:pPr>
            <w:r>
              <w:rPr>
                <w:rFonts w:ascii="Calibri" w:hAnsi="Calibri" w:eastAsia="Calibri"/>
                <w:b/>
                <w:color w:val="0B2545"/>
                <w:sz w:val="16"/>
              </w:rPr>
              <w:t>Team actions</w:t>
            </w:r>
          </w:p>
        </w:tc>
        <w:tc>
          <w:tcPr>
            <w:tcW w:type="dxa" w:w="2860"/>
            <w:shd w:fill="E8EEF5"/>
            <w:vAlign w:val="center"/>
            <w:tcMar>
              <w:top w:w="80" w:type="dxa"/>
              <w:start w:w="120" w:type="dxa"/>
              <w:bottom w:w="80" w:type="dxa"/>
              <w:end w:w="120" w:type="dxa"/>
            </w:tcMar>
          </w:tcPr>
          <w:p>
            <w:pPr>
              <w:spacing w:after="0" w:line="252" w:lineRule="auto"/>
              <w:jc w:val="center"/>
            </w:pPr>
            <w:r>
              <w:rPr>
                <w:rFonts w:ascii="Calibri" w:hAnsi="Calibri" w:eastAsia="Calibri"/>
                <w:b/>
                <w:color w:val="0B2545"/>
                <w:sz w:val="16"/>
              </w:rPr>
              <w:t>End-of-week evidence</w:t>
            </w:r>
          </w:p>
        </w:tc>
      </w:tr>
      <w:tr>
        <w:trPr>
          <w:cantSplit/>
        </w:trPr>
        <w:tc>
          <w:tcPr>
            <w:tcW w:type="dxa" w:w="10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1</w:t>
            </w:r>
          </w:p>
        </w:tc>
        <w:tc>
          <w:tcPr>
            <w:tcW w:type="dxa" w:w="55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Select flagship crop/pilot; freeze v0.1 entities; assign four workstreams; define treatment and ground-truth plan</w:t>
            </w:r>
          </w:p>
        </w:tc>
        <w:tc>
          <w:tcPr>
            <w:tcW w:type="dxa" w:w="28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Signed charter, repo protections, schema and field/trial draft</w:t>
            </w:r>
          </w:p>
        </w:tc>
      </w:tr>
      <w:tr>
        <w:trPr>
          <w:cantSplit/>
        </w:trPr>
        <w:tc>
          <w:tcPr>
            <w:tcW w:type="dxa" w:w="10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2</w:t>
            </w:r>
          </w:p>
        </w:tc>
        <w:tc>
          <w:tcPr>
            <w:tcW w:type="dxa" w:w="55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Build farm/field/plot/treatment/task APIs; sensor and weather simulators; public-source licence register</w:t>
            </w:r>
          </w:p>
        </w:tc>
        <w:tc>
          <w:tcPr>
            <w:tcW w:type="dxa" w:w="28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Synthetic register -&gt; observe -&gt; twin -&gt; task demo</w:t>
            </w:r>
          </w:p>
        </w:tc>
      </w:tr>
      <w:tr>
        <w:trPr>
          <w:cantSplit/>
        </w:trPr>
        <w:tc>
          <w:tcPr>
            <w:tcW w:type="dxa" w:w="10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3</w:t>
            </w:r>
          </w:p>
        </w:tc>
        <w:tc>
          <w:tcPr>
            <w:tcW w:type="dxa" w:w="55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Implement soil-water baseline, one crop-vision baseline and one yield baseline; design camera/calibration SOP</w:t>
            </w:r>
          </w:p>
        </w:tc>
        <w:tc>
          <w:tcPr>
            <w:tcW w:type="dxa" w:w="28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Reproducible metrics, split manifests and model cards</w:t>
            </w:r>
          </w:p>
        </w:tc>
      </w:tr>
      <w:tr>
        <w:trPr>
          <w:cantSplit/>
        </w:trPr>
        <w:tc>
          <w:tcPr>
            <w:tcW w:type="dxa" w:w="10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4</w:t>
            </w:r>
          </w:p>
        </w:tc>
        <w:tc>
          <w:tcPr>
            <w:tcW w:type="dxa" w:w="55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Create 100-hour alert payload/dashboard; publish MissionBridge schema and mock; finalize 60-day pilot backlog</w:t>
            </w:r>
          </w:p>
        </w:tc>
        <w:tc>
          <w:tcPr>
            <w:tcW w:type="dxa" w:w="28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6"/>
              </w:rPr>
              <w:t>End-to-end replay plus risks, owners and acceptance gates</w:t>
            </w:r>
          </w:p>
        </w:tc>
      </w:tr>
    </w:tbl>
    <w:p>
      <w:pPr>
        <w:keepNext w:val="0"/>
        <w:spacing w:before="0" w:after="40" w:line="300" w:lineRule="auto"/>
        <w:jc w:val="left"/>
      </w:pPr>
      <w:r>
        <w:rPr>
          <w:rFonts w:ascii="Calibri" w:hAnsi="Calibri" w:eastAsia="Calibri"/>
          <w:b w:val="0"/>
          <w:i w:val="0"/>
          <w:color w:val="111827"/>
          <w:sz w:val="22"/>
        </w:rPr>
      </w:r>
    </w:p>
    <w:p>
      <w:pPr>
        <w:pStyle w:val="Heading2"/>
      </w:pPr>
      <w:r>
        <w:t>C.1 First demonstration</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E8EEF5"/>
            <w:tcBorders>
              <w:top w:val="nil"/>
              <w:left w:val="single" w:sz="12" w:space="0" w:color="2E74B5"/>
              <w:bottom w:val="nil"/>
              <w:right w:val="nil"/>
            </w:tcBorders>
          </w:tcPr>
          <w:p>
            <w:pPr>
              <w:spacing w:after="40" w:line="288" w:lineRule="auto"/>
            </w:pPr>
            <w:r>
              <w:rPr>
                <w:rFonts w:ascii="Calibri" w:hAnsi="Calibri" w:eastAsia="Calibri"/>
                <w:b/>
                <w:color w:val="2E74B5"/>
                <w:sz w:val="21"/>
              </w:rPr>
              <w:t xml:space="preserve">Demo 1. </w:t>
            </w:r>
            <w:r>
              <w:rPr>
                <w:rFonts w:ascii="Calibri" w:hAnsi="Calibri" w:eastAsia="Calibri"/>
                <w:color w:val="111827"/>
                <w:sz w:val="21"/>
              </w:rPr>
              <w:t>Create one farm and two plots (control and treatment), replay seven days of soil/weather/irrigation data, update Soil360, show a treatment comparison, generate one traceable 100-hour alert, complete a manual task and send the same intent to a mocked ROS2 mission executor. No physical robot or live farm is required.</w:t>
            </w:r>
          </w:p>
        </w:tc>
      </w:tr>
    </w:tbl>
    <w:p>
      <w:pPr>
        <w:keepNext w:val="0"/>
        <w:spacing w:before="0" w:after="40" w:line="300" w:lineRule="auto"/>
        <w:jc w:val="left"/>
      </w:pPr>
      <w:r>
        <w:rPr>
          <w:rFonts w:ascii="Calibri" w:hAnsi="Calibri" w:eastAsia="Calibri"/>
          <w:b w:val="0"/>
          <w:i w:val="0"/>
          <w:color w:val="111827"/>
          <w:sz w:val="22"/>
        </w:rPr>
      </w:r>
    </w:p>
    <w:p>
      <w:pPr>
        <w:pStyle w:val="Heading2"/>
      </w:pPr>
      <w:r>
        <w:t>C.2 First four task branches</w:t>
      </w:r>
    </w:p>
    <w:p>
      <w:pPr>
        <w:numPr>
          <w:ilvl w:val="0"/>
          <w:numId w:val="10"/>
        </w:numPr>
        <w:spacing w:after="80" w:line="300" w:lineRule="auto"/>
      </w:pPr>
      <w:r>
        <w:rPr>
          <w:rFonts w:ascii="Calibri" w:hAnsi="Calibri" w:eastAsia="Calibri"/>
          <w:color w:val="111827"/>
          <w:sz w:val="22"/>
        </w:rPr>
        <w:t>feature/AAG-101-soil-twin-ingestion</w:t>
      </w:r>
    </w:p>
    <w:p>
      <w:pPr>
        <w:numPr>
          <w:ilvl w:val="0"/>
          <w:numId w:val="10"/>
        </w:numPr>
        <w:spacing w:after="80" w:line="300" w:lineRule="auto"/>
      </w:pPr>
      <w:r>
        <w:rPr>
          <w:rFonts w:ascii="Calibri" w:hAnsi="Calibri" w:eastAsia="Calibri"/>
          <w:color w:val="111827"/>
          <w:sz w:val="22"/>
        </w:rPr>
        <w:t>feature/AAG-102-crop-vision-baseline</w:t>
      </w:r>
    </w:p>
    <w:p>
      <w:pPr>
        <w:numPr>
          <w:ilvl w:val="0"/>
          <w:numId w:val="10"/>
        </w:numPr>
        <w:spacing w:after="80" w:line="300" w:lineRule="auto"/>
      </w:pPr>
      <w:r>
        <w:rPr>
          <w:rFonts w:ascii="Calibri" w:hAnsi="Calibri" w:eastAsia="Calibri"/>
          <w:color w:val="111827"/>
          <w:sz w:val="22"/>
        </w:rPr>
        <w:t>feature/AAG-103-100h-yield-alert-baseline</w:t>
      </w:r>
    </w:p>
    <w:p>
      <w:pPr>
        <w:numPr>
          <w:ilvl w:val="0"/>
          <w:numId w:val="10"/>
        </w:numPr>
        <w:spacing w:after="80" w:line="300" w:lineRule="auto"/>
      </w:pPr>
      <w:r>
        <w:rPr>
          <w:rFonts w:ascii="Calibri" w:hAnsi="Calibri" w:eastAsia="Calibri"/>
          <w:color w:val="111827"/>
          <w:sz w:val="22"/>
        </w:rPr>
        <w:t>feature/AAG-104-platform-dashboard-missionbridge</w:t>
      </w:r>
    </w:p>
    <w:p>
      <w:pPr>
        <w:pStyle w:val="Heading1"/>
      </w:pPr>
      <w:r>
        <w:t>Appendix D. Authoritative source register</w:t>
      </w:r>
    </w:p>
    <w:p>
      <w:pPr>
        <w:spacing w:after="80" w:line="276" w:lineRule="auto"/>
      </w:pPr>
      <w:r>
        <w:rPr>
          <w:rFonts w:ascii="Calibri" w:hAnsi="Calibri" w:eastAsia="Calibri"/>
          <w:b/>
          <w:color w:val="0B2545"/>
          <w:sz w:val="19"/>
        </w:rPr>
        <w:t xml:space="preserve">1. </w:t>
      </w:r>
      <w:hyperlink r:id="rId17">
        <w:r>
          <w:rPr>
            <w:rFonts w:ascii="Calibri" w:hAnsi="Calibri"/>
            <w:color w:val="2E74B5"/>
            <w:u w:val="single"/>
          </w:rPr>
          <w:t>ISRIC SoilGrids</w:t>
        </w:r>
      </w:hyperlink>
    </w:p>
    <w:p>
      <w:pPr>
        <w:spacing w:after="80" w:line="276" w:lineRule="auto"/>
      </w:pPr>
      <w:r>
        <w:rPr>
          <w:rFonts w:ascii="Calibri" w:hAnsi="Calibri" w:eastAsia="Calibri"/>
          <w:b/>
          <w:color w:val="0B2545"/>
          <w:sz w:val="19"/>
        </w:rPr>
        <w:t xml:space="preserve">2. </w:t>
      </w:r>
      <w:hyperlink r:id="rId18">
        <w:r>
          <w:rPr>
            <w:rFonts w:ascii="Calibri" w:hAnsi="Calibri"/>
            <w:color w:val="2E74B5"/>
            <w:u w:val="single"/>
          </w:rPr>
          <w:t>Copernicus Data Space - Sentinel-2</w:t>
        </w:r>
      </w:hyperlink>
    </w:p>
    <w:p>
      <w:pPr>
        <w:spacing w:after="80" w:line="276" w:lineRule="auto"/>
      </w:pPr>
      <w:r>
        <w:rPr>
          <w:rFonts w:ascii="Calibri" w:hAnsi="Calibri" w:eastAsia="Calibri"/>
          <w:b/>
          <w:color w:val="0B2545"/>
          <w:sz w:val="19"/>
        </w:rPr>
        <w:t xml:space="preserve">3. </w:t>
      </w:r>
      <w:hyperlink r:id="rId19">
        <w:r>
          <w:rPr>
            <w:rFonts w:ascii="Calibri" w:hAnsi="Calibri"/>
            <w:color w:val="2E74B5"/>
            <w:u w:val="single"/>
          </w:rPr>
          <w:t>Copernicus Data Space - Sentinel-1</w:t>
        </w:r>
      </w:hyperlink>
    </w:p>
    <w:p>
      <w:pPr>
        <w:spacing w:after="80" w:line="276" w:lineRule="auto"/>
      </w:pPr>
      <w:r>
        <w:rPr>
          <w:rFonts w:ascii="Calibri" w:hAnsi="Calibri" w:eastAsia="Calibri"/>
          <w:b/>
          <w:color w:val="0B2545"/>
          <w:sz w:val="19"/>
        </w:rPr>
        <w:t xml:space="preserve">4. </w:t>
      </w:r>
      <w:hyperlink r:id="rId20">
        <w:r>
          <w:rPr>
            <w:rFonts w:ascii="Calibri" w:hAnsi="Calibri"/>
            <w:color w:val="2E74B5"/>
            <w:u w:val="single"/>
          </w:rPr>
          <w:t>NASA / NSIDC SMAP data</w:t>
        </w:r>
      </w:hyperlink>
    </w:p>
    <w:p>
      <w:pPr>
        <w:spacing w:after="80" w:line="276" w:lineRule="auto"/>
      </w:pPr>
      <w:r>
        <w:rPr>
          <w:rFonts w:ascii="Calibri" w:hAnsi="Calibri" w:eastAsia="Calibri"/>
          <w:b/>
          <w:color w:val="0B2545"/>
          <w:sz w:val="19"/>
        </w:rPr>
        <w:t xml:space="preserve">5. </w:t>
      </w:r>
      <w:hyperlink r:id="rId21">
        <w:r>
          <w:rPr>
            <w:rFonts w:ascii="Calibri" w:hAnsi="Calibri"/>
            <w:color w:val="2E74B5"/>
            <w:u w:val="single"/>
          </w:rPr>
          <w:t>NASA POWER Data Access Viewer</w:t>
        </w:r>
      </w:hyperlink>
    </w:p>
    <w:p>
      <w:pPr>
        <w:spacing w:after="80" w:line="276" w:lineRule="auto"/>
      </w:pPr>
      <w:r>
        <w:rPr>
          <w:rFonts w:ascii="Calibri" w:hAnsi="Calibri" w:eastAsia="Calibri"/>
          <w:b/>
          <w:color w:val="0B2545"/>
          <w:sz w:val="19"/>
        </w:rPr>
        <w:t xml:space="preserve">6. </w:t>
      </w:r>
      <w:hyperlink r:id="rId22">
        <w:r>
          <w:rPr>
            <w:rFonts w:ascii="Calibri" w:hAnsi="Calibri"/>
            <w:color w:val="2E74B5"/>
            <w:u w:val="single"/>
          </w:rPr>
          <w:t>Copernicus ERA5-Land</w:t>
        </w:r>
      </w:hyperlink>
    </w:p>
    <w:p>
      <w:pPr>
        <w:spacing w:after="80" w:line="276" w:lineRule="auto"/>
      </w:pPr>
      <w:r>
        <w:rPr>
          <w:rFonts w:ascii="Calibri" w:hAnsi="Calibri" w:eastAsia="Calibri"/>
          <w:b/>
          <w:color w:val="0B2545"/>
          <w:sz w:val="19"/>
        </w:rPr>
        <w:t xml:space="preserve">7. </w:t>
      </w:r>
      <w:hyperlink r:id="rId23">
        <w:r>
          <w:rPr>
            <w:rFonts w:ascii="Calibri" w:hAnsi="Calibri"/>
            <w:color w:val="2E74B5"/>
            <w:u w:val="single"/>
          </w:rPr>
          <w:t>ECMWF IFS and AIFS open forecast data</w:t>
        </w:r>
      </w:hyperlink>
    </w:p>
    <w:p>
      <w:pPr>
        <w:spacing w:after="80" w:line="276" w:lineRule="auto"/>
      </w:pPr>
      <w:r>
        <w:rPr>
          <w:rFonts w:ascii="Calibri" w:hAnsi="Calibri" w:eastAsia="Calibri"/>
          <w:b/>
          <w:color w:val="0B2545"/>
          <w:sz w:val="19"/>
        </w:rPr>
        <w:t xml:space="preserve">8. </w:t>
      </w:r>
      <w:hyperlink r:id="rId24">
        <w:r>
          <w:rPr>
            <w:rFonts w:ascii="Calibri" w:hAnsi="Calibri"/>
            <w:color w:val="2E74B5"/>
            <w:u w:val="single"/>
          </w:rPr>
          <w:t>India Meteorological Department Agromet Advisory Services</w:t>
        </w:r>
      </w:hyperlink>
    </w:p>
    <w:p>
      <w:pPr>
        <w:spacing w:after="80" w:line="276" w:lineRule="auto"/>
      </w:pPr>
      <w:r>
        <w:rPr>
          <w:rFonts w:ascii="Calibri" w:hAnsi="Calibri" w:eastAsia="Calibri"/>
          <w:b/>
          <w:color w:val="0B2545"/>
          <w:sz w:val="19"/>
        </w:rPr>
        <w:t xml:space="preserve">9. </w:t>
      </w:r>
      <w:hyperlink r:id="rId25">
        <w:r>
          <w:rPr>
            <w:rFonts w:ascii="Calibri" w:hAnsi="Calibri"/>
            <w:color w:val="2E74B5"/>
            <w:u w:val="single"/>
          </w:rPr>
          <w:t>NRSC / ISRO Bhuvan</w:t>
        </w:r>
      </w:hyperlink>
    </w:p>
    <w:p>
      <w:pPr>
        <w:spacing w:after="80" w:line="276" w:lineRule="auto"/>
      </w:pPr>
      <w:r>
        <w:rPr>
          <w:rFonts w:ascii="Calibri" w:hAnsi="Calibri" w:eastAsia="Calibri"/>
          <w:b/>
          <w:color w:val="0B2545"/>
          <w:sz w:val="19"/>
        </w:rPr>
        <w:t xml:space="preserve">10. </w:t>
      </w:r>
      <w:hyperlink r:id="rId26">
        <w:r>
          <w:rPr>
            <w:rFonts w:ascii="Calibri" w:hAnsi="Calibri"/>
            <w:color w:val="2E74B5"/>
            <w:u w:val="single"/>
          </w:rPr>
          <w:t>FAO AquaCrop</w:t>
        </w:r>
      </w:hyperlink>
    </w:p>
    <w:p>
      <w:pPr>
        <w:spacing w:after="80" w:line="276" w:lineRule="auto"/>
      </w:pPr>
      <w:r>
        <w:rPr>
          <w:rFonts w:ascii="Calibri" w:hAnsi="Calibri" w:eastAsia="Calibri"/>
          <w:b/>
          <w:color w:val="0B2545"/>
          <w:sz w:val="19"/>
        </w:rPr>
        <w:t xml:space="preserve">11. </w:t>
      </w:r>
      <w:hyperlink r:id="rId27">
        <w:r>
          <w:rPr>
            <w:rFonts w:ascii="Calibri" w:hAnsi="Calibri"/>
            <w:color w:val="2E74B5"/>
            <w:u w:val="single"/>
          </w:rPr>
          <w:t>OGC SensorThings API standard</w:t>
        </w:r>
      </w:hyperlink>
    </w:p>
    <w:p>
      <w:pPr>
        <w:spacing w:after="80" w:line="276" w:lineRule="auto"/>
      </w:pPr>
      <w:r>
        <w:rPr>
          <w:rFonts w:ascii="Calibri" w:hAnsi="Calibri" w:eastAsia="Calibri"/>
          <w:b/>
          <w:color w:val="0B2545"/>
          <w:sz w:val="19"/>
        </w:rPr>
        <w:t xml:space="preserve">12. </w:t>
      </w:r>
      <w:hyperlink r:id="rId28">
        <w:r>
          <w:rPr>
            <w:rFonts w:ascii="Calibri" w:hAnsi="Calibri"/>
            <w:color w:val="2E74B5"/>
            <w:u w:val="single"/>
          </w:rPr>
          <w:t>CropHarvest official repository</w:t>
        </w:r>
      </w:hyperlink>
    </w:p>
    <w:p>
      <w:pPr>
        <w:spacing w:after="80" w:line="276" w:lineRule="auto"/>
      </w:pPr>
      <w:r>
        <w:rPr>
          <w:rFonts w:ascii="Calibri" w:hAnsi="Calibri" w:eastAsia="Calibri"/>
          <w:b/>
          <w:color w:val="0B2545"/>
          <w:sz w:val="19"/>
        </w:rPr>
        <w:t xml:space="preserve">13. </w:t>
      </w:r>
      <w:hyperlink r:id="rId29">
        <w:r>
          <w:rPr>
            <w:rFonts w:ascii="Calibri" w:hAnsi="Calibri"/>
            <w:color w:val="2E74B5"/>
            <w:u w:val="single"/>
          </w:rPr>
          <w:t>Agriculture-Vision official repository</w:t>
        </w:r>
      </w:hyperlink>
    </w:p>
    <w:p>
      <w:pPr>
        <w:spacing w:after="80" w:line="276" w:lineRule="auto"/>
      </w:pPr>
      <w:r>
        <w:rPr>
          <w:rFonts w:ascii="Calibri" w:hAnsi="Calibri" w:eastAsia="Calibri"/>
          <w:b/>
          <w:color w:val="0B2545"/>
          <w:sz w:val="19"/>
        </w:rPr>
        <w:t xml:space="preserve">14. </w:t>
      </w:r>
      <w:hyperlink r:id="rId30">
        <w:r>
          <w:rPr>
            <w:rFonts w:ascii="Calibri" w:hAnsi="Calibri"/>
            <w:color w:val="2E74B5"/>
            <w:u w:val="single"/>
          </w:rPr>
          <w:t>TensorFlow Datasets - PlantVillage</w:t>
        </w:r>
      </w:hyperlink>
    </w:p>
    <w:p>
      <w:pPr>
        <w:spacing w:after="80" w:line="276" w:lineRule="auto"/>
      </w:pPr>
      <w:r>
        <w:rPr>
          <w:rFonts w:ascii="Calibri" w:hAnsi="Calibri" w:eastAsia="Calibri"/>
          <w:b/>
          <w:color w:val="0B2545"/>
          <w:sz w:val="19"/>
        </w:rPr>
        <w:t xml:space="preserve">15. </w:t>
      </w:r>
      <w:hyperlink r:id="rId31">
        <w:r>
          <w:rPr>
            <w:rFonts w:ascii="Calibri" w:hAnsi="Calibri"/>
            <w:color w:val="2E74B5"/>
            <w:u w:val="single"/>
          </w:rPr>
          <w:t>Global Wheat datasets</w:t>
        </w:r>
      </w:hyperlink>
    </w:p>
    <w:p>
      <w:pPr>
        <w:spacing w:after="80" w:line="276" w:lineRule="auto"/>
      </w:pPr>
      <w:r>
        <w:rPr>
          <w:rFonts w:ascii="Calibri" w:hAnsi="Calibri" w:eastAsia="Calibri"/>
          <w:b/>
          <w:color w:val="0B2545"/>
          <w:sz w:val="19"/>
        </w:rPr>
        <w:t xml:space="preserve">16. </w:t>
      </w:r>
      <w:hyperlink r:id="rId32">
        <w:r>
          <w:rPr>
            <w:rFonts w:ascii="Calibri" w:hAnsi="Calibri"/>
            <w:color w:val="2E74B5"/>
            <w:u w:val="single"/>
          </w:rPr>
          <w:t>ROS2 documentation</w:t>
        </w:r>
      </w:hyperlink>
    </w:p>
    <w:p>
      <w:pPr>
        <w:spacing w:after="80" w:line="276" w:lineRule="auto"/>
      </w:pPr>
      <w:r>
        <w:rPr>
          <w:rFonts w:ascii="Calibri" w:hAnsi="Calibri" w:eastAsia="Calibri"/>
          <w:b/>
          <w:color w:val="0B2545"/>
          <w:sz w:val="19"/>
        </w:rPr>
        <w:t xml:space="preserve">17. </w:t>
      </w:r>
      <w:hyperlink r:id="rId33">
        <w:r>
          <w:rPr>
            <w:rFonts w:ascii="Calibri" w:hAnsi="Calibri"/>
            <w:color w:val="2E74B5"/>
            <w:u w:val="single"/>
          </w:rPr>
          <w:t>ROS2 releases and target platforms - REP 2000</w:t>
        </w:r>
      </w:hyperlink>
    </w:p>
    <w:p>
      <w:pPr>
        <w:keepNext w:val="0"/>
        <w:spacing w:before="0" w:after="160" w:line="300" w:lineRule="auto"/>
        <w:jc w:val="left"/>
      </w:pPr>
      <w:r>
        <w:rPr>
          <w:rFonts w:ascii="Calibri" w:hAnsi="Calibri" w:eastAsia="Calibri"/>
          <w:b w:val="0"/>
          <w:i/>
          <w:color w:val="667085"/>
          <w:sz w:val="18"/>
        </w:rPr>
        <w:t>Resource access and current descriptions checked for this planning document on 05 August 2026. Licences, API conditions, data availability and terms must be re-checked before download, publication, commercial use or autonomous-operation integration.</w:t>
      </w:r>
    </w:p>
    <w:p>
      <w:pPr>
        <w:pStyle w:val="Heading1"/>
      </w:pPr>
      <w:r>
        <w:t>Approval record</w:t>
      </w:r>
    </w:p>
    <w:tbl>
      <w:tblPr>
        <w:tblStyle w:val="TableGrid"/>
        <w:tblW w:type="dxa" w:w="9360"/>
        <w:jc w:val="left"/>
        <w:tblLayout w:type="fixed"/>
        <w:tblLook w:firstColumn="1" w:firstRow="1" w:lastColumn="0" w:lastRow="0" w:noHBand="0" w:noVBand="1" w:val="04A0"/>
        <w:tblInd w:w="120" w:type="dxa"/>
      </w:tblPr>
      <w:tblGrid>
        <w:gridCol w:w="3000"/>
        <w:gridCol w:w="3000"/>
        <w:gridCol w:w="3360"/>
      </w:tblGrid>
      <w:tr>
        <w:trPr>
          <w:tblHeader w:val="true"/>
          <w:cantSplit/>
        </w:trPr>
        <w:tc>
          <w:tcPr>
            <w:tcW w:type="dxa" w:w="3000"/>
            <w:shd w:fill="E8EEF5"/>
            <w:vAlign w:val="center"/>
            <w:tcMar>
              <w:top w:w="80" w:type="dxa"/>
              <w:start w:w="120" w:type="dxa"/>
              <w:bottom w:w="80" w:type="dxa"/>
              <w:end w:w="120" w:type="dxa"/>
            </w:tcMar>
          </w:tcPr>
          <w:p>
            <w:pPr>
              <w:spacing w:after="0" w:line="252" w:lineRule="auto"/>
              <w:jc w:val="center"/>
            </w:pPr>
            <w:r>
              <w:rPr>
                <w:rFonts w:ascii="Calibri" w:hAnsi="Calibri" w:eastAsia="Calibri"/>
                <w:b/>
                <w:color w:val="0B2545"/>
                <w:sz w:val="18"/>
              </w:rPr>
              <w:t>Role</w:t>
            </w:r>
          </w:p>
        </w:tc>
        <w:tc>
          <w:tcPr>
            <w:tcW w:type="dxa" w:w="3000"/>
            <w:shd w:fill="E8EEF5"/>
            <w:vAlign w:val="center"/>
            <w:tcMar>
              <w:top w:w="80" w:type="dxa"/>
              <w:start w:w="120" w:type="dxa"/>
              <w:bottom w:w="80" w:type="dxa"/>
              <w:end w:w="120" w:type="dxa"/>
            </w:tcMar>
          </w:tcPr>
          <w:p>
            <w:pPr>
              <w:spacing w:after="0" w:line="252" w:lineRule="auto"/>
              <w:jc w:val="center"/>
            </w:pPr>
            <w:r>
              <w:rPr>
                <w:rFonts w:ascii="Calibri" w:hAnsi="Calibri" w:eastAsia="Calibri"/>
                <w:b/>
                <w:color w:val="0B2545"/>
                <w:sz w:val="18"/>
              </w:rPr>
              <w:t>Name</w:t>
            </w:r>
          </w:p>
        </w:tc>
        <w:tc>
          <w:tcPr>
            <w:tcW w:type="dxa" w:w="3360"/>
            <w:shd w:fill="E8EEF5"/>
            <w:vAlign w:val="center"/>
            <w:tcMar>
              <w:top w:w="80" w:type="dxa"/>
              <w:start w:w="120" w:type="dxa"/>
              <w:bottom w:w="80" w:type="dxa"/>
              <w:end w:w="120" w:type="dxa"/>
            </w:tcMar>
          </w:tcPr>
          <w:p>
            <w:pPr>
              <w:spacing w:after="0" w:line="252" w:lineRule="auto"/>
              <w:jc w:val="center"/>
            </w:pPr>
            <w:r>
              <w:rPr>
                <w:rFonts w:ascii="Calibri" w:hAnsi="Calibri" w:eastAsia="Calibri"/>
                <w:b/>
                <w:color w:val="0B2545"/>
                <w:sz w:val="18"/>
              </w:rPr>
              <w:t>Decision / date</w:t>
            </w:r>
          </w:p>
        </w:tc>
      </w:tr>
      <w:tr>
        <w:trPr>
          <w:cantSplit/>
        </w:trPr>
        <w:tc>
          <w:tcPr>
            <w:tcW w:type="dxa" w:w="30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8"/>
              </w:rPr>
              <w:t>Program Sponsor / Product Owner</w:t>
            </w:r>
          </w:p>
        </w:tc>
        <w:tc>
          <w:tcPr>
            <w:tcW w:type="dxa" w:w="30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8"/>
              </w:rPr>
              <w:t>Akash Shivadas Chatake</w:t>
            </w:r>
          </w:p>
        </w:tc>
        <w:tc>
          <w:tcPr>
            <w:tcW w:type="dxa" w:w="33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8"/>
              </w:rPr>
              <w:t>____________________________</w:t>
            </w:r>
          </w:p>
        </w:tc>
      </w:tr>
      <w:tr>
        <w:trPr>
          <w:cantSplit/>
        </w:trPr>
        <w:tc>
          <w:tcPr>
            <w:tcW w:type="dxa" w:w="30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8"/>
              </w:rPr>
              <w:t>Apollo AgriGuard Team Lead</w:t>
            </w:r>
          </w:p>
        </w:tc>
        <w:tc>
          <w:tcPr>
            <w:tcW w:type="dxa" w:w="30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8"/>
              </w:rPr>
              <w:t>To be assigned</w:t>
            </w:r>
          </w:p>
        </w:tc>
        <w:tc>
          <w:tcPr>
            <w:tcW w:type="dxa" w:w="33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8"/>
              </w:rPr>
              <w:t>____________________________</w:t>
            </w:r>
          </w:p>
        </w:tc>
      </w:tr>
      <w:tr>
        <w:trPr>
          <w:cantSplit/>
        </w:trPr>
        <w:tc>
          <w:tcPr>
            <w:tcW w:type="dxa" w:w="30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8"/>
              </w:rPr>
              <w:t>Agronomy / Soil Domain Reviewer</w:t>
            </w:r>
          </w:p>
        </w:tc>
        <w:tc>
          <w:tcPr>
            <w:tcW w:type="dxa" w:w="30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8"/>
              </w:rPr>
              <w:t>To be assigned</w:t>
            </w:r>
          </w:p>
        </w:tc>
        <w:tc>
          <w:tcPr>
            <w:tcW w:type="dxa" w:w="33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8"/>
              </w:rPr>
              <w:t>____________________________</w:t>
            </w:r>
          </w:p>
        </w:tc>
      </w:tr>
      <w:tr>
        <w:trPr>
          <w:cantSplit/>
        </w:trPr>
        <w:tc>
          <w:tcPr>
            <w:tcW w:type="dxa" w:w="30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8"/>
              </w:rPr>
              <w:t>Apollo RoboLink Interface Lead</w:t>
            </w:r>
          </w:p>
        </w:tc>
        <w:tc>
          <w:tcPr>
            <w:tcW w:type="dxa" w:w="300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8"/>
              </w:rPr>
              <w:t>To be assigned</w:t>
            </w:r>
          </w:p>
        </w:tc>
        <w:tc>
          <w:tcPr>
            <w:tcW w:type="dxa" w:w="3360"/>
            <w:vAlign w:val="center"/>
            <w:tcMar>
              <w:top w:w="80" w:type="dxa"/>
              <w:start w:w="120" w:type="dxa"/>
              <w:bottom w:w="80" w:type="dxa"/>
              <w:end w:w="120" w:type="dxa"/>
            </w:tcMar>
          </w:tcPr>
          <w:p>
            <w:pPr>
              <w:spacing w:after="0" w:line="259" w:lineRule="auto"/>
              <w:jc w:val="left"/>
            </w:pPr>
            <w:r>
              <w:rPr>
                <w:rFonts w:ascii="Calibri" w:hAnsi="Calibri" w:eastAsia="Calibri"/>
                <w:b w:val="0"/>
                <w:color w:val="111827"/>
                <w:sz w:val="18"/>
              </w:rPr>
              <w:t>____________________________</w:t>
            </w:r>
          </w:p>
        </w:tc>
      </w:tr>
    </w:tbl>
    <w:p>
      <w:pPr>
        <w:keepNext w:val="0"/>
        <w:spacing w:before="0" w:after="40" w:line="300" w:lineRule="auto"/>
        <w:jc w:val="left"/>
      </w:pPr>
      <w:r>
        <w:rPr>
          <w:rFonts w:ascii="Calibri" w:hAnsi="Calibri" w:eastAsia="Calibri"/>
          <w:b w:val="0"/>
          <w:i w:val="0"/>
          <w:color w:val="111827"/>
          <w:sz w:val="22"/>
        </w:rPr>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FFF3E6"/>
            <w:tcBorders>
              <w:top w:val="nil"/>
              <w:left w:val="single" w:sz="12" w:space="0" w:color="F28C28"/>
              <w:bottom w:val="nil"/>
              <w:right w:val="nil"/>
            </w:tcBorders>
          </w:tcPr>
          <w:p>
            <w:pPr>
              <w:spacing w:after="40" w:line="288" w:lineRule="auto"/>
            </w:pPr>
            <w:r>
              <w:rPr>
                <w:rFonts w:ascii="Calibri" w:hAnsi="Calibri" w:eastAsia="Calibri"/>
                <w:b/>
                <w:color w:val="F28C28"/>
                <w:sz w:val="21"/>
              </w:rPr>
              <w:t xml:space="preserve">Final directive. </w:t>
            </w:r>
            <w:r>
              <w:rPr>
                <w:rFonts w:ascii="Calibri" w:hAnsi="Calibri" w:eastAsia="Calibri"/>
                <w:color w:val="111827"/>
                <w:sz w:val="21"/>
              </w:rPr>
              <w:t>Build Apollo AgriGuard as a complete soil-crop intelligence and farm-decision platform. Keep MissionBridge optional, versioned and tested. When AgriGuard, PashuSense and RoboLink dock through the same Apollo standard, the full AgriVerse system is assembled without weakening any individual module.</w:t>
            </w:r>
          </w:p>
        </w:tc>
      </w:tr>
    </w:tbl>
    <w:p>
      <w:pPr>
        <w:keepNext w:val="0"/>
        <w:spacing w:before="0" w:after="40" w:line="300" w:lineRule="auto"/>
        <w:jc w:val="left"/>
      </w:pPr>
      <w:r>
        <w:rPr>
          <w:rFonts w:ascii="Calibri" w:hAnsi="Calibri" w:eastAsia="Calibri"/>
          <w:b w:val="0"/>
          <w:i w:val="0"/>
          <w:color w:val="111827"/>
          <w:sz w:val="22"/>
        </w:rPr>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667085"/>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667085"/>
        <w:sz w:val="17"/>
      </w:rPr>
    </w:r>
    <w:r>
      <w:rPr>
        <w:rFonts w:ascii="Calibri" w:hAnsi="Calibri" w:eastAsia="Calibri"/>
        <w:b/>
        <w:color w:val="667085"/>
        <w:sz w:val="17"/>
      </w:rPr>
      <w:t>APOLLO AGRIVERSE  |  MODULE 1 - APOLLO AGRIGUARD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rPr>
        <w:rFonts w:ascii="Calibri" w:hAnsi="Calibri"/>
      </w:rPr>
    </w:lvl>
  </w:abstractNum>
  <w:num w:numId="10">
    <w:abstractNumId w:val="9"/>
  </w:num>
  <w:abstractNum w:abstractNumId="10">
    <w:multiLevelType w:val="singleLevel"/>
    <w:lvl w:ilvl="0">
      <w:start w:val="1"/>
      <w:numFmt w:val="decimal"/>
      <w:lvlText w:val="%1."/>
      <w:lvlJc w:val="left"/>
      <w:pPr>
        <w:tabs>
          <w:tab w:val="num" w:pos="540"/>
        </w:tabs>
        <w:ind w:left="540" w:hanging="270"/>
        <w:spacing w:after="80" w:line="300" w:lineRule="auto"/>
      </w:pPr>
      <w:rPr>
        <w:rFonts w:ascii="Calibri" w:hAnsi="Calibri"/>
      </w:rPr>
    </w:lvl>
  </w:abstractNum>
  <w:num w:numId="11">
    <w:abstractNumId w:val="10"/>
  </w:num>
  <w:abstractNum w:abstractNumId="11">
    <w:multiLevelType w:val="singleLevel"/>
    <w:lvl w:ilvl="0">
      <w:start w:val="1"/>
      <w:numFmt w:val="decimal"/>
      <w:lvlText w:val="%1."/>
      <w:lvlJc w:val="left"/>
      <w:pPr>
        <w:tabs>
          <w:tab w:val="num" w:pos="540"/>
        </w:tabs>
        <w:ind w:left="540" w:hanging="270"/>
        <w:spacing w:after="80" w:line="300" w:lineRule="auto"/>
      </w:pPr>
      <w:rPr>
        <w:rFonts w:ascii="Calibri" w:hAnsi="Calibri"/>
      </w:rPr>
    </w:lvl>
  </w:abstractNum>
  <w:num w:numId="12">
    <w:abstractNumId w:val="11"/>
  </w:num>
  <w:abstractNum w:abstractNumId="12">
    <w:multiLevelType w:val="singleLevel"/>
    <w:lvl w:ilvl="0">
      <w:start w:val="1"/>
      <w:numFmt w:val="decimal"/>
      <w:lvlText w:val="%1."/>
      <w:lvlJc w:val="left"/>
      <w:pPr>
        <w:tabs>
          <w:tab w:val="num" w:pos="540"/>
        </w:tabs>
        <w:ind w:left="540" w:hanging="270"/>
        <w:spacing w:after="80" w:line="300" w:lineRule="auto"/>
      </w:pPr>
      <w:rPr>
        <w:rFonts w:ascii="Calibri" w:hAnsi="Calibri"/>
      </w:rPr>
    </w:lvl>
  </w:abstractNum>
  <w:num w:numId="13">
    <w:abstractNumId w:val="12"/>
  </w:num>
  <w:abstractNum w:abstractNumId="13">
    <w:multiLevelType w:val="singleLevel"/>
    <w:lvl w:ilvl="0">
      <w:start w:val="1"/>
      <w:numFmt w:val="decimal"/>
      <w:lvlText w:val="%1."/>
      <w:lvlJc w:val="left"/>
      <w:pPr>
        <w:tabs>
          <w:tab w:val="num" w:pos="540"/>
        </w:tabs>
        <w:ind w:left="540" w:hanging="270"/>
        <w:spacing w:after="80" w:line="300" w:lineRule="auto"/>
      </w:pPr>
      <w:rPr>
        <w:rFonts w:ascii="Calibri" w:hAnsi="Calibri"/>
      </w:rPr>
    </w:lvl>
  </w:abstractNum>
  <w:num w:numId="14">
    <w:abstractNumId w:val="13"/>
  </w:num>
  <w:abstractNum w:abstractNumId="14">
    <w:multiLevelType w:val="singleLevel"/>
    <w:lvl w:ilvl="0">
      <w:start w:val="1"/>
      <w:numFmt w:val="decimal"/>
      <w:lvlText w:val="%1."/>
      <w:lvlJc w:val="left"/>
      <w:pPr>
        <w:tabs>
          <w:tab w:val="num" w:pos="540"/>
        </w:tabs>
        <w:ind w:left="540" w:hanging="270"/>
        <w:spacing w:after="80" w:line="300" w:lineRule="auto"/>
      </w:pPr>
      <w:rPr>
        <w:rFonts w:ascii="Calibri" w:hAnsi="Calibri"/>
      </w:rPr>
    </w:lvl>
  </w:abstract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hyperlink" Target="https://soilgrids.org/" TargetMode="External"/><Relationship Id="rId18" Type="http://schemas.openxmlformats.org/officeDocument/2006/relationships/hyperlink" Target="https://dataspace.copernicus.eu/data-collections/copernicus-sentinel-missions/sentinel-2" TargetMode="External"/><Relationship Id="rId19" Type="http://schemas.openxmlformats.org/officeDocument/2006/relationships/hyperlink" Target="https://dataspace.copernicus.eu/data-collections/copernicus-sentinel-missions/sentinel-1" TargetMode="External"/><Relationship Id="rId20" Type="http://schemas.openxmlformats.org/officeDocument/2006/relationships/hyperlink" Target="https://nsidc.org/data/smap" TargetMode="External"/><Relationship Id="rId21" Type="http://schemas.openxmlformats.org/officeDocument/2006/relationships/hyperlink" Target="https://power.larc.nasa.gov/data-access-viewer/" TargetMode="External"/><Relationship Id="rId22" Type="http://schemas.openxmlformats.org/officeDocument/2006/relationships/hyperlink" Target="https://cds.climate.copernicus.eu/datasets/reanalysis-era5-land" TargetMode="External"/><Relationship Id="rId23" Type="http://schemas.openxmlformats.org/officeDocument/2006/relationships/hyperlink" Target="https://www.ecmwf.int/en/forecasts/datasets/open-data" TargetMode="External"/><Relationship Id="rId24" Type="http://schemas.openxmlformats.org/officeDocument/2006/relationships/hyperlink" Target="https://mausam.imd.gov.in/responsive/agromet_adv_ser_state_current.php" TargetMode="External"/><Relationship Id="rId25" Type="http://schemas.openxmlformats.org/officeDocument/2006/relationships/hyperlink" Target="https://bhuvan.nrsc.gov.in/" TargetMode="External"/><Relationship Id="rId26" Type="http://schemas.openxmlformats.org/officeDocument/2006/relationships/hyperlink" Target="https://www.fao.org/aquacrop/en" TargetMode="External"/><Relationship Id="rId27" Type="http://schemas.openxmlformats.org/officeDocument/2006/relationships/hyperlink" Target="https://www.ogc.org/standards/sensorthings/" TargetMode="External"/><Relationship Id="rId28" Type="http://schemas.openxmlformats.org/officeDocument/2006/relationships/hyperlink" Target="https://github.com/nasaharvest/cropharvest" TargetMode="External"/><Relationship Id="rId29" Type="http://schemas.openxmlformats.org/officeDocument/2006/relationships/hyperlink" Target="https://github.com/SHI-Labs/Agriculture-Vision" TargetMode="External"/><Relationship Id="rId30" Type="http://schemas.openxmlformats.org/officeDocument/2006/relationships/hyperlink" Target="https://www.tensorflow.org/datasets/catalog/plant_village" TargetMode="External"/><Relationship Id="rId31" Type="http://schemas.openxmlformats.org/officeDocument/2006/relationships/hyperlink" Target="https://www.global-wheat.com/" TargetMode="External"/><Relationship Id="rId32" Type="http://schemas.openxmlformats.org/officeDocument/2006/relationships/hyperlink" Target="https://docs.ros.org/" TargetMode="External"/><Relationship Id="rId33" Type="http://schemas.openxmlformats.org/officeDocument/2006/relationships/hyperlink" Target="https://reps.openrobotics.org/rep-20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Apollo AgriVerse Module 1 - Apollo AgriGuard Intelligent Soil-Crop Digital Twin Blueprint</dc:title>
  <dc:subject>Intelligent soil development, crop digital twins, precision agriculture and ROS2 docking</dc:subject>
  <dc:creator>Chatake Innoworks Pvt. Ltd.</dc:creator>
  <cp:keywords>Apollo AgriGuard, Soil360, digital twin, precision agriculture, IoT, yield forecast, ROS2</cp:keywords>
  <dc:description>Internal implementation blueprint v1.0</dc:description>
  <cp:lastModifiedBy/>
  <cp:revision>1</cp:revision>
  <dcterms:created xsi:type="dcterms:W3CDTF">2013-12-23T23:15:00Z</dcterms:created>
  <dcterms:modified xsi:type="dcterms:W3CDTF">2013-12-23T23:15:00Z</dcterms:modified>
  <cp:category/>
</cp:coreProperties>
</file>