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12" w:lineRule="auto" w:after="240"/>
        <w:jc w:val="center"/>
      </w:pPr>
      <w:r>
        <w:rPr>
          <w:b/>
          <w:sz w:val="32"/>
        </w:rPr>
        <w:t>LEXGUARD — LEGAL CASE RESEARCH AND CRYPTOGRAPHIC VERIFICATION PLATFORM</w:t>
        <w:br/>
      </w:r>
    </w:p>
    <w:p>
      <w:pPr>
        <w:spacing w:line="312" w:lineRule="auto" w:after="480"/>
        <w:jc w:val="center"/>
      </w:pPr>
      <w:r>
        <w:rPr>
          <w:b/>
          <w:sz w:val="26"/>
        </w:rPr>
        <w:t>A MINI - PROJECT REPORT</w:t>
        <w:br/>
        <w:br/>
        <w:t>Submitted by</w:t>
      </w:r>
    </w:p>
    <w:p>
      <w:pPr>
        <w:spacing w:line="312" w:lineRule="auto" w:after="560"/>
        <w:jc w:val="center"/>
      </w:pPr>
      <w:r>
        <w:rPr>
          <w:b/>
          <w:sz w:val="26"/>
        </w:rPr>
        <w:t>VIJAYARAJ K P</w:t>
        <w:tab/>
        <w:tab/>
        <w:t>Reg. No.: 9517202404176</w:t>
        <w:br/>
      </w:r>
      <w:r>
        <w:rPr>
          <w:b/>
          <w:sz w:val="26"/>
        </w:rPr>
        <w:t>YUVARAJ SINGH B</w:t>
        <w:tab/>
        <w:tab/>
        <w:t>Reg. No.: 9517202404187</w:t>
        <w:br/>
      </w:r>
    </w:p>
    <w:p>
      <w:pPr>
        <w:spacing w:line="312" w:lineRule="auto" w:after="480"/>
        <w:jc w:val="center"/>
      </w:pPr>
      <w:r>
        <w:rPr>
          <w:sz w:val="24"/>
        </w:rPr>
        <w:t>for the Course</w:t>
        <w:br/>
      </w:r>
      <w:r>
        <w:rPr>
          <w:b/>
          <w:sz w:val="26"/>
        </w:rPr>
        <w:t>23CS553 – MINI PROJECT-III</w:t>
        <w:br/>
      </w:r>
    </w:p>
    <w:p>
      <w:pPr>
        <w:spacing w:line="312" w:lineRule="auto" w:after="0"/>
        <w:jc w:val="center"/>
      </w:pPr>
      <w:r>
        <w:rPr>
          <w:b/>
          <w:sz w:val="26"/>
        </w:rPr>
        <w:t>DEPARTMENT OF COMPUTER SCIENCE AND ENGINEERING</w:t>
        <w:br/>
        <w:t>MEPCO SCHLENK ENGINEERING COLLEGE, SIVAKASI</w:t>
        <w:br/>
        <w:t>(An Autonomous Institution affiliated to Anna University, Chennai)</w:t>
        <w:br/>
        <w:t>NOVEMBER 2026</w:t>
        <w:br/>
      </w:r>
    </w:p>
    <w:p>
      <w:r>
        <w:br w:type="page"/>
      </w:r>
    </w:p>
    <w:p>
      <w:pPr>
        <w:spacing w:after="480"/>
        <w:jc w:val="center"/>
      </w:pPr>
      <w:r>
        <w:rPr>
          <w:b/>
          <w:sz w:val="28"/>
        </w:rPr>
        <w:t>MEPCO SCHLENK ENGINEERING COLLEGE, SIVAKASI</w:t>
        <w:br/>
        <w:t>(Autonomous)</w:t>
        <w:br/>
        <w:br/>
        <w:t>BONAFIDE CERTIFICATE</w:t>
      </w:r>
    </w:p>
    <w:p>
      <w:pPr>
        <w:spacing w:line="360" w:lineRule="auto" w:after="800"/>
        <w:jc w:val="both"/>
      </w:pPr>
      <w:r>
        <w:t xml:space="preserve">Certified that this mini-project report titled </w:t>
      </w:r>
      <w:r>
        <w:rPr>
          <w:b/>
        </w:rPr>
        <w:t>"LEXGUARD — LEGAL CASE RESEARCH AND CRYPTOGRAPHIC VERIFICATION PLATFORM"</w:t>
      </w:r>
      <w:r>
        <w:t xml:space="preserve"> is the bonafide work of </w:t>
      </w:r>
      <w:r>
        <w:rPr>
          <w:b/>
        </w:rPr>
        <w:t>VIJAYARAJ K P (Reg. No.: 9517202404176)</w:t>
      </w:r>
      <w:r>
        <w:t xml:space="preserve"> and </w:t>
      </w:r>
      <w:r>
        <w:rPr>
          <w:b/>
        </w:rPr>
        <w:t>YUVARAJ SINGH B (Reg. No.: 9517202404187)</w:t>
      </w:r>
      <w:r>
        <w:t xml:space="preserve"> who carried out the mini-project work under my supervision for the course </w:t>
      </w:r>
      <w:r>
        <w:rPr>
          <w:b/>
        </w:rPr>
        <w:t>23CS553 - Mini Project-III</w:t>
      </w:r>
      <w:r>
        <w:t xml:space="preserve"> at Mepco Schlenk Engineering College (Autonomous), Sivakasi during Semester - V in the academic year 2026 - 2027.</w:t>
      </w:r>
    </w:p>
    <w:tbl>
      <w:tblPr>
        <w:tblW w:type="auto" w:w="0"/>
        <w:jc w:val="center"/>
        <w:tblLayout w:type="fixed"/>
        <w:tblLook w:firstColumn="1" w:firstRow="1" w:lastColumn="0" w:lastRow="0" w:noHBand="0" w:noVBand="1" w:val="04A0"/>
      </w:tblPr>
      <w:tblGrid>
        <w:gridCol w:w="4464"/>
        <w:gridCol w:w="4464"/>
      </w:tblGrid>
      <w:tr>
        <w:tc>
          <w:tcPr>
            <w:tcW w:type="dxa" w:w="4500"/>
          </w:tcPr>
          <w:p>
            <w:pPr>
              <w:spacing w:line="288" w:lineRule="auto"/>
              <w:jc w:val="left"/>
            </w:pPr>
            <w:r>
              <w:rPr>
                <w:b/>
              </w:rPr>
              <w:br/>
              <w:br/>
              <w:br/>
              <w:t>___________________________</w:t>
              <w:br/>
            </w:r>
            <w:r>
              <w:rPr>
                <w:b/>
              </w:rPr>
              <w:t>Dr. S. Amutha, M.E., Ph.D.</w:t>
              <w:br/>
            </w:r>
            <w:r>
              <w:t>PROJECT MENTOR</w:t>
              <w:br/>
              <w:t>Associate Professor</w:t>
              <w:br/>
              <w:t>Dept. of Computer Science and Engineering</w:t>
              <w:br/>
              <w:t>Mepco Schlenk Engineering College</w:t>
              <w:br/>
              <w:t>Sivakasi - 626 005</w:t>
            </w:r>
          </w:p>
        </w:tc>
        <w:tc>
          <w:tcPr>
            <w:tcW w:type="dxa" w:w="4500"/>
          </w:tcPr>
          <w:p>
            <w:pPr>
              <w:spacing w:line="288" w:lineRule="auto"/>
              <w:jc w:val="right"/>
            </w:pPr>
            <w:r>
              <w:rPr>
                <w:b/>
              </w:rPr>
              <w:br/>
              <w:br/>
              <w:br/>
              <w:t>___________________________</w:t>
              <w:br/>
            </w:r>
            <w:r>
              <w:rPr>
                <w:b/>
              </w:rPr>
              <w:t>Dr. J. Raja Sekar, M.E., Ph.D.</w:t>
              <w:br/>
            </w:r>
            <w:r>
              <w:t>HEAD OF THE DEPARTMENT</w:t>
              <w:br/>
              <w:t>Senior Professor &amp; Head</w:t>
              <w:br/>
              <w:t>Dept. of Computer Science and Engineering</w:t>
              <w:br/>
              <w:t>Mepco Schlenk Engineering College</w:t>
              <w:br/>
              <w:t>Sivakasi - 626 005</w:t>
            </w:r>
          </w:p>
        </w:tc>
      </w:tr>
    </w:tbl>
    <w:p>
      <w:pPr>
        <w:spacing w:before="800" w:after="400"/>
        <w:jc w:val="both"/>
      </w:pPr>
      <w:r>
        <w:t>Submitted for the Practical Examination held at Mepco Schlenk Engineering College (Autonomous), Sivakasi on ______ / ______ / 2026.</w:t>
        <w:br/>
      </w:r>
    </w:p>
    <w:tbl>
      <w:tblPr>
        <w:tblW w:type="auto" w:w="0"/>
        <w:jc w:val="center"/>
        <w:tblLook w:firstColumn="1" w:firstRow="1" w:lastColumn="0" w:lastRow="0" w:noHBand="0" w:noVBand="1" w:val="04A0"/>
      </w:tblPr>
      <w:tblGrid>
        <w:gridCol w:w="4464"/>
        <w:gridCol w:w="4464"/>
      </w:tblGrid>
      <w:tr>
        <w:tc>
          <w:tcPr>
            <w:tcW w:type="dxa" w:w="4500"/>
          </w:tcPr>
          <w:p>
            <w:pPr>
              <w:jc w:val="left"/>
            </w:pPr>
            <w:r>
              <w:rPr>
                <w:b/>
              </w:rPr>
              <w:br/>
              <w:br/>
              <w:t>___________________________</w:t>
              <w:br/>
            </w:r>
            <w:r>
              <w:rPr>
                <w:b/>
              </w:rPr>
              <w:t>INTERNAL EXAMINER - I</w:t>
            </w:r>
          </w:p>
        </w:tc>
        <w:tc>
          <w:tcPr>
            <w:tcW w:type="dxa" w:w="4500"/>
          </w:tcPr>
          <w:p>
            <w:pPr>
              <w:jc w:val="right"/>
            </w:pPr>
            <w:r>
              <w:rPr>
                <w:b/>
              </w:rPr>
              <w:br/>
              <w:br/>
              <w:t>___________________________</w:t>
              <w:br/>
            </w:r>
            <w:r>
              <w:rPr>
                <w:b/>
              </w:rPr>
              <w:t>INTERNAL EXAMINER - II</w:t>
            </w:r>
          </w:p>
        </w:tc>
      </w:tr>
    </w:tbl>
    <w:p>
      <w:r>
        <w:br w:type="page"/>
      </w:r>
    </w:p>
    <w:p>
      <w:pPr>
        <w:spacing w:after="360"/>
        <w:jc w:val="center"/>
      </w:pPr>
      <w:r>
        <w:rPr>
          <w:b/>
          <w:sz w:val="28"/>
        </w:rPr>
        <w:t>ABSTRACT</w:t>
      </w:r>
    </w:p>
    <w:p>
      <w:pPr>
        <w:spacing w:line="360" w:lineRule="auto" w:after="160"/>
        <w:jc w:val="both"/>
      </w:pPr>
      <w:r>
        <w:t>Searching, cross-referencing, and verifying legal precedents constitutes one of the most critical and intellectually demanding responsibilities within the judicial system. Legal practitioners, advocates, court registries, and judicial scholars routinely spend extensive working hours manually navigating fragmented court repositories, verifying statutory provisions, and validating whether cited judicial records have remained unaltered since initial publication. Furthermore, the advent of generic large language model (LLM) tools has exacerbated risks in legal drafting: commercial AI chat systems regularly produce hallucinated case names, fabricated citations, and erroneous statutory interpretations that introduce severe ethical and professional liabilities before courts of law. To systematically address these institutional challenges, this work presents Lexguard, an automated, secure, and web-based Legal Case Research and Cryptographic Verification Platform.</w:t>
      </w:r>
    </w:p>
    <w:p>
      <w:pPr>
        <w:spacing w:line="360" w:lineRule="auto" w:after="160"/>
        <w:jc w:val="both"/>
      </w:pPr>
      <w:r>
        <w:t>Lexguard establishes a zero-trust, role-based judicial repository that tightly couples cryptographic document integrity verification with domain-tailored legal intelligence. The core security pipeline implements streaming SHA-256 byte hashing upon document ingestion, paired with an immutable, hash-chained audit ledger. Every operational event—ranging from judgment document ingestion and administrative metadata approval to petition gap analyses and document views—is sequentially committed into a cryptographic ledger wherein each block embeds the SHA-256 digest of its predecessor, establishing non-repudiable and tamper-evident traceability.</w:t>
      </w:r>
    </w:p>
    <w:p>
      <w:pPr>
        <w:spacing w:line="360" w:lineRule="auto" w:after="160"/>
        <w:jc w:val="both"/>
      </w:pPr>
      <w:r>
        <w:t>For precedent discovery, Lexguard features a hybrid search engine fusing dense semantic sentence representations (Sentence-Transformers and InLegalBERT embeddings) with structured statutory PostgreSQL / SQLite filters. This architecture enables advocates to retrieve authoritative judgments based on conceptual and contextual legal narratives, even when colloquial phrasing differs from exact statutory nomenclature. Additionally, an integrated AI Draft Assistant scans draft advocate petitions, detects missing statutory grounds (under the Indian Penal Code, Code of Criminal Procedure, and Negotiable Instruments Act), identifies unaddressed adverse precedents, and cross-references authoritative repository holdings with a strict zero-hallucination guarantee. Lexguard is realized through a decoupled asynchronous FastAPI backend, a responsive React 18 interface styled with Tailwind CSS, and optimized relational vector indexing, delivering a resilient, high-speed, and cryptographically verified legal research workflow.</w:t>
      </w:r>
    </w:p>
    <w:p>
      <w:r>
        <w:br w:type="page"/>
      </w:r>
    </w:p>
    <w:p>
      <w:pPr>
        <w:spacing w:after="360"/>
        <w:jc w:val="center"/>
      </w:pPr>
      <w:r>
        <w:rPr>
          <w:b/>
          <w:sz w:val="28"/>
        </w:rPr>
        <w:t>ACKNOWLEDGEMENT</w:t>
      </w:r>
    </w:p>
    <w:p>
      <w:pPr>
        <w:spacing w:line="360" w:lineRule="auto" w:after="160"/>
        <w:jc w:val="both"/>
      </w:pPr>
      <w:r>
        <w:t>First and foremost, we thank the LORD ALMIGHTY for his abundant blessings, continuous guidance, and strength showered upon us throughout our academic endeavors.</w:t>
      </w:r>
    </w:p>
    <w:p>
      <w:pPr>
        <w:spacing w:line="360" w:lineRule="auto" w:after="160"/>
        <w:jc w:val="both"/>
      </w:pPr>
      <w:r>
        <w:t>We extend our sincere and profound gratitude to our esteemed college management and our respected Principal, Dr. S. Arivazhagan, M.E., Ph.D., for providing an exceptional academic environment, sophisticated computing laboratories, and comprehensive library resources that enabled us to execute this mini-project successfully.</w:t>
      </w:r>
    </w:p>
    <w:p>
      <w:pPr>
        <w:spacing w:line="360" w:lineRule="auto" w:after="160"/>
        <w:jc w:val="both"/>
      </w:pPr>
      <w:r>
        <w:t>We express our heartfelt gratitude to Dr. J. Raja Sekar, M.E., Ph.D., Senior Professor and Head, Department of Computer Science and Engineering, Mepco Schlenk Engineering College, for granting us the opportunity to undertake this project and for his invaluable encouragement, scholarly perspectives, and constructive suggestions during every phase of our work.</w:t>
      </w:r>
    </w:p>
    <w:p>
      <w:pPr>
        <w:spacing w:line="360" w:lineRule="auto" w:after="160"/>
        <w:jc w:val="both"/>
      </w:pPr>
      <w:r>
        <w:t>We would also like to record our deep appreciation and gratitude to Dr. T. Gladima Nisia, M.E., Ph.D., Assistant Professor (Sr. Grade), and Dr. N. Kavitha, M.E., (Ph.D.), Assistant Professor (Sl. Grade), Department of Computer Science and Engineering, our Mini-Project In-charges, for their steadfast administrative coordination, procedural guidance, and continuous monitoring.</w:t>
      </w:r>
    </w:p>
    <w:p>
      <w:pPr>
        <w:spacing w:line="360" w:lineRule="auto" w:after="160"/>
        <w:jc w:val="both"/>
      </w:pPr>
      <w:r>
        <w:t>We express our heartfelt gratitude and sincere indebtedness to our revered Project Mentor, Dr. S. Amutha, M.E., Ph.D., Associate Professor, Department of Computer Science and Engineering, Mepco Schlenk Engineering College. Her rich technical expertise, inspiring guidance, patient reviews, and meticulous feedback were instrumental in shaping the architecture and achieving the successful completion of this project.</w:t>
      </w:r>
    </w:p>
    <w:p>
      <w:pPr>
        <w:spacing w:line="360" w:lineRule="auto" w:after="160"/>
        <w:jc w:val="both"/>
      </w:pPr>
      <w:r>
        <w:t>Our sincere thanks are also conveyed to all revered faculty members, technical supporting staff, and laboratory assistants of the Department of Computer Science and Engineering for their timely assistance and technical support.</w:t>
      </w:r>
    </w:p>
    <w:p>
      <w:pPr>
        <w:spacing w:line="360" w:lineRule="auto" w:after="160"/>
        <w:jc w:val="both"/>
      </w:pPr>
      <w:r>
        <w:t>Last but not least, we convey our deepest sense of indebtedness and gratitude to our beloved parents, family members, and friends for their enduring moral support, encouragement, and understanding throughout this endeavor.</w:t>
      </w:r>
    </w:p>
    <w:p>
      <w:r>
        <w:br w:type="page"/>
      </w:r>
    </w:p>
    <w:p>
      <w:pPr>
        <w:spacing w:after="360"/>
        <w:jc w:val="center"/>
      </w:pPr>
      <w:r>
        <w:rPr>
          <w:b/>
          <w:sz w:val="28"/>
        </w:rPr>
        <w:t>SUSTAINABLE DEVELOPMENT GOALS (SDGs) ALIGNMENT</w:t>
      </w:r>
    </w:p>
    <w:p>
      <w:pPr>
        <w:spacing w:line="360" w:lineRule="auto" w:after="240"/>
        <w:jc w:val="both"/>
      </w:pPr>
      <w:r>
        <w:t>The United Nations Sustainable Development Goals (SDGs) constitute an urgent, universal blueprint to foster peace, equity, and sustainable institutional advancement. The Lexguard platform directly supports the following key goals through its software architecture and domain deployment:</w:t>
      </w:r>
    </w:p>
    <w:tbl>
      <w:tblPr>
        <w:tblW w:type="auto" w:w="0"/>
        <w:jc w:val="center"/>
        <w:tblLook w:firstColumn="1" w:firstRow="1" w:lastColumn="0" w:lastRow="0" w:noHBand="0" w:noVBand="1" w:val="04A0"/>
      </w:tblPr>
      <w:tblGrid>
        <w:gridCol w:w="2592"/>
        <w:gridCol w:w="4176"/>
        <w:gridCol w:w="1440"/>
        <w:gridCol w:w="1152"/>
      </w:tblGrid>
      <w:tr>
        <w:tc>
          <w:tcPr>
            <w:tcW w:type="dxa" w:w="2250"/>
            <w:tcMar>
              <w:top w:w="120" w:type="dxa"/>
              <w:bottom w:w="120" w:type="dxa"/>
              <w:left w:w="120" w:type="dxa"/>
              <w:right w:w="120" w:type="dxa"/>
            </w:tcMar>
            <w:shd w:fill="E0E7FF"/>
          </w:tcPr>
          <w:p>
            <w:pPr>
              <w:jc w:val="center"/>
            </w:pPr>
            <w:r>
              <w:rPr>
                <w:b/>
                <w:sz w:val="21"/>
              </w:rPr>
              <w:t>SDG Goal</w:t>
            </w:r>
          </w:p>
        </w:tc>
        <w:tc>
          <w:tcPr>
            <w:tcW w:type="dxa" w:w="2250"/>
            <w:tcMar>
              <w:top w:w="120" w:type="dxa"/>
              <w:bottom w:w="120" w:type="dxa"/>
              <w:left w:w="120" w:type="dxa"/>
              <w:right w:w="120" w:type="dxa"/>
            </w:tcMar>
            <w:shd w:fill="E0E7FF"/>
          </w:tcPr>
          <w:p>
            <w:pPr>
              <w:jc w:val="center"/>
            </w:pPr>
            <w:r>
              <w:rPr>
                <w:b/>
                <w:sz w:val="21"/>
              </w:rPr>
              <w:t>Relevance in Project Context</w:t>
            </w:r>
          </w:p>
        </w:tc>
        <w:tc>
          <w:tcPr>
            <w:tcW w:type="dxa" w:w="2250"/>
            <w:tcMar>
              <w:top w:w="120" w:type="dxa"/>
              <w:bottom w:w="120" w:type="dxa"/>
              <w:left w:w="120" w:type="dxa"/>
              <w:right w:w="120" w:type="dxa"/>
            </w:tcMar>
            <w:shd w:fill="E0E7FF"/>
          </w:tcPr>
          <w:p>
            <w:pPr>
              <w:jc w:val="center"/>
            </w:pPr>
            <w:r>
              <w:rPr>
                <w:b/>
                <w:sz w:val="21"/>
              </w:rPr>
              <w:t>Relevant Sections</w:t>
            </w:r>
          </w:p>
        </w:tc>
        <w:tc>
          <w:tcPr>
            <w:tcW w:type="dxa" w:w="2250"/>
            <w:tcMar>
              <w:top w:w="120" w:type="dxa"/>
              <w:bottom w:w="120" w:type="dxa"/>
              <w:left w:w="120" w:type="dxa"/>
              <w:right w:w="120" w:type="dxa"/>
            </w:tcMar>
            <w:shd w:fill="E0E7FF"/>
          </w:tcPr>
          <w:p>
            <w:pPr>
              <w:jc w:val="center"/>
            </w:pPr>
            <w:r>
              <w:rPr>
                <w:b/>
                <w:sz w:val="21"/>
              </w:rPr>
              <w:t>Page No.</w:t>
            </w:r>
          </w:p>
        </w:tc>
      </w:tr>
      <w:tr>
        <w:tc>
          <w:tcPr>
            <w:tcW w:type="dxa" w:w="2592"/>
            <w:tcMar>
              <w:top w:w="100" w:type="dxa"/>
              <w:bottom w:w="100" w:type="dxa"/>
              <w:left w:w="120" w:type="dxa"/>
              <w:right w:w="120" w:type="dxa"/>
            </w:tcMar>
          </w:tcPr>
          <w:p>
            <w:pPr>
              <w:spacing w:line="288" w:lineRule="auto"/>
              <w:jc w:val="both"/>
            </w:pPr>
            <w:r>
              <w:rPr>
                <w:sz w:val="20"/>
              </w:rPr>
              <w:t>SDG 16: Peace, Justice and Strong Institutions</w:t>
            </w:r>
          </w:p>
        </w:tc>
        <w:tc>
          <w:tcPr>
            <w:tcW w:type="dxa" w:w="4176"/>
            <w:tcMar>
              <w:top w:w="100" w:type="dxa"/>
              <w:bottom w:w="100" w:type="dxa"/>
              <w:left w:w="120" w:type="dxa"/>
              <w:right w:w="120" w:type="dxa"/>
            </w:tcMar>
          </w:tcPr>
          <w:p>
            <w:pPr>
              <w:spacing w:line="288" w:lineRule="auto"/>
              <w:jc w:val="both"/>
            </w:pPr>
            <w:r>
              <w:rPr>
                <w:sz w:val="20"/>
              </w:rPr>
              <w:t>Ensures institutional transparency, evidentiary document integrity, and tamper-resistance in judicial administration using cryptographic SHA-256 byte hashing and immutable, hash-chained audit logging.</w:t>
            </w:r>
          </w:p>
        </w:tc>
        <w:tc>
          <w:tcPr>
            <w:tcW w:type="dxa" w:w="1440"/>
            <w:tcMar>
              <w:top w:w="100" w:type="dxa"/>
              <w:bottom w:w="100" w:type="dxa"/>
              <w:left w:w="120" w:type="dxa"/>
              <w:right w:w="120" w:type="dxa"/>
            </w:tcMar>
          </w:tcPr>
          <w:p>
            <w:pPr>
              <w:spacing w:line="288" w:lineRule="auto"/>
              <w:jc w:val="center"/>
            </w:pPr>
            <w:r>
              <w:rPr>
                <w:sz w:val="20"/>
              </w:rPr>
              <w:t>1.2, 2.3, 3.1.2, 4.2</w:t>
            </w:r>
          </w:p>
        </w:tc>
        <w:tc>
          <w:tcPr>
            <w:tcW w:type="dxa" w:w="1152"/>
            <w:tcMar>
              <w:top w:w="100" w:type="dxa"/>
              <w:bottom w:w="100" w:type="dxa"/>
              <w:left w:w="120" w:type="dxa"/>
              <w:right w:w="120" w:type="dxa"/>
            </w:tcMar>
          </w:tcPr>
          <w:p>
            <w:pPr>
              <w:spacing w:line="288" w:lineRule="auto"/>
              <w:jc w:val="center"/>
            </w:pPr>
            <w:r>
              <w:rPr>
                <w:sz w:val="20"/>
              </w:rPr>
              <w:t>1, 3, 6, 24</w:t>
            </w:r>
          </w:p>
        </w:tc>
      </w:tr>
      <w:tr>
        <w:tc>
          <w:tcPr>
            <w:tcW w:type="dxa" w:w="2592"/>
            <w:tcMar>
              <w:top w:w="100" w:type="dxa"/>
              <w:bottom w:w="100" w:type="dxa"/>
              <w:left w:w="120" w:type="dxa"/>
              <w:right w:w="120" w:type="dxa"/>
            </w:tcMar>
            <w:shd w:fill="F8FAFC"/>
          </w:tcPr>
          <w:p>
            <w:pPr>
              <w:spacing w:line="288" w:lineRule="auto"/>
              <w:jc w:val="both"/>
            </w:pPr>
            <w:r>
              <w:rPr>
                <w:sz w:val="20"/>
              </w:rPr>
              <w:t>SDG 9: Industry, Innovation and Infrastructure</w:t>
            </w:r>
          </w:p>
        </w:tc>
        <w:tc>
          <w:tcPr>
            <w:tcW w:type="dxa" w:w="4176"/>
            <w:tcMar>
              <w:top w:w="100" w:type="dxa"/>
              <w:bottom w:w="100" w:type="dxa"/>
              <w:left w:w="120" w:type="dxa"/>
              <w:right w:w="120" w:type="dxa"/>
            </w:tcMar>
            <w:shd w:fill="F8FAFC"/>
          </w:tcPr>
          <w:p>
            <w:pPr>
              <w:spacing w:line="288" w:lineRule="auto"/>
              <w:jc w:val="both"/>
            </w:pPr>
            <w:r>
              <w:rPr>
                <w:sz w:val="20"/>
              </w:rPr>
              <w:t>Modernizes judicial infrastructure by infusing applied natural language processing, semantic vector embeddings (InLegalBERT), and automated legal precedent score fusion.</w:t>
            </w:r>
          </w:p>
        </w:tc>
        <w:tc>
          <w:tcPr>
            <w:tcW w:type="dxa" w:w="1440"/>
            <w:tcMar>
              <w:top w:w="100" w:type="dxa"/>
              <w:bottom w:w="100" w:type="dxa"/>
              <w:left w:w="120" w:type="dxa"/>
              <w:right w:w="120" w:type="dxa"/>
            </w:tcMar>
            <w:shd w:fill="F8FAFC"/>
          </w:tcPr>
          <w:p>
            <w:pPr>
              <w:spacing w:line="288" w:lineRule="auto"/>
              <w:jc w:val="center"/>
            </w:pPr>
            <w:r>
              <w:rPr>
                <w:sz w:val="20"/>
              </w:rPr>
              <w:t>1.4, 3.3, 4.3</w:t>
            </w:r>
          </w:p>
        </w:tc>
        <w:tc>
          <w:tcPr>
            <w:tcW w:type="dxa" w:w="1152"/>
            <w:tcMar>
              <w:top w:w="100" w:type="dxa"/>
              <w:bottom w:w="100" w:type="dxa"/>
              <w:left w:w="120" w:type="dxa"/>
              <w:right w:w="120" w:type="dxa"/>
            </w:tcMar>
            <w:shd w:fill="F8FAFC"/>
          </w:tcPr>
          <w:p>
            <w:pPr>
              <w:spacing w:line="288" w:lineRule="auto"/>
              <w:jc w:val="center"/>
            </w:pPr>
            <w:r>
              <w:rPr>
                <w:sz w:val="20"/>
              </w:rPr>
              <w:t>1, 16, 25</w:t>
            </w:r>
          </w:p>
        </w:tc>
      </w:tr>
      <w:tr>
        <w:tc>
          <w:tcPr>
            <w:tcW w:type="dxa" w:w="2592"/>
            <w:tcMar>
              <w:top w:w="100" w:type="dxa"/>
              <w:bottom w:w="100" w:type="dxa"/>
              <w:left w:w="120" w:type="dxa"/>
              <w:right w:w="120" w:type="dxa"/>
            </w:tcMar>
          </w:tcPr>
          <w:p>
            <w:pPr>
              <w:spacing w:line="288" w:lineRule="auto"/>
              <w:jc w:val="both"/>
            </w:pPr>
            <w:r>
              <w:rPr>
                <w:sz w:val="20"/>
              </w:rPr>
              <w:t>SDG 12: Responsible Consumption and Production</w:t>
            </w:r>
          </w:p>
        </w:tc>
        <w:tc>
          <w:tcPr>
            <w:tcW w:type="dxa" w:w="4176"/>
            <w:tcMar>
              <w:top w:w="100" w:type="dxa"/>
              <w:bottom w:w="100" w:type="dxa"/>
              <w:left w:w="120" w:type="dxa"/>
              <w:right w:w="120" w:type="dxa"/>
            </w:tcMar>
          </w:tcPr>
          <w:p>
            <w:pPr>
              <w:spacing w:line="288" w:lineRule="auto"/>
              <w:jc w:val="both"/>
            </w:pPr>
            <w:r>
              <w:rPr>
                <w:sz w:val="20"/>
              </w:rPr>
              <w:t>Promotes paperless court research, digital precedent verification, and virtual multi-case comparison, directly eliminating manual physical briefs and excessive paper printing.</w:t>
            </w:r>
          </w:p>
        </w:tc>
        <w:tc>
          <w:tcPr>
            <w:tcW w:type="dxa" w:w="1440"/>
            <w:tcMar>
              <w:top w:w="100" w:type="dxa"/>
              <w:bottom w:w="100" w:type="dxa"/>
              <w:left w:w="120" w:type="dxa"/>
              <w:right w:w="120" w:type="dxa"/>
            </w:tcMar>
          </w:tcPr>
          <w:p>
            <w:pPr>
              <w:spacing w:line="288" w:lineRule="auto"/>
              <w:jc w:val="center"/>
            </w:pPr>
            <w:r>
              <w:rPr>
                <w:sz w:val="20"/>
              </w:rPr>
              <w:t>1.5, 2.4</w:t>
            </w:r>
          </w:p>
        </w:tc>
        <w:tc>
          <w:tcPr>
            <w:tcW w:type="dxa" w:w="1152"/>
            <w:tcMar>
              <w:top w:w="100" w:type="dxa"/>
              <w:bottom w:w="100" w:type="dxa"/>
              <w:left w:w="120" w:type="dxa"/>
              <w:right w:w="120" w:type="dxa"/>
            </w:tcMar>
          </w:tcPr>
          <w:p>
            <w:pPr>
              <w:spacing w:line="288" w:lineRule="auto"/>
              <w:jc w:val="center"/>
            </w:pPr>
            <w:r>
              <w:rPr>
                <w:sz w:val="20"/>
              </w:rPr>
              <w:t>2, 4</w:t>
            </w:r>
          </w:p>
        </w:tc>
      </w:tr>
      <w:tr>
        <w:tc>
          <w:tcPr>
            <w:tcW w:type="dxa" w:w="2592"/>
            <w:tcMar>
              <w:top w:w="100" w:type="dxa"/>
              <w:bottom w:w="100" w:type="dxa"/>
              <w:left w:w="120" w:type="dxa"/>
              <w:right w:w="120" w:type="dxa"/>
            </w:tcMar>
            <w:shd w:fill="F8FAFC"/>
          </w:tcPr>
          <w:p>
            <w:pPr>
              <w:spacing w:line="288" w:lineRule="auto"/>
              <w:jc w:val="both"/>
            </w:pPr>
            <w:r>
              <w:rPr>
                <w:sz w:val="20"/>
              </w:rPr>
              <w:t>SDG 4: Quality Education</w:t>
            </w:r>
          </w:p>
        </w:tc>
        <w:tc>
          <w:tcPr>
            <w:tcW w:type="dxa" w:w="4176"/>
            <w:tcMar>
              <w:top w:w="100" w:type="dxa"/>
              <w:bottom w:w="100" w:type="dxa"/>
              <w:left w:w="120" w:type="dxa"/>
              <w:right w:w="120" w:type="dxa"/>
            </w:tcMar>
            <w:shd w:fill="F8FAFC"/>
          </w:tcPr>
          <w:p>
            <w:pPr>
              <w:spacing w:line="288" w:lineRule="auto"/>
              <w:jc w:val="both"/>
            </w:pPr>
            <w:r>
              <w:rPr>
                <w:sz w:val="20"/>
              </w:rPr>
              <w:t>Offers open, structured, and verified access to judicial precedents, statutory interpretations, and ratio decidendi for legal scholars, academicians, and law students.</w:t>
            </w:r>
          </w:p>
        </w:tc>
        <w:tc>
          <w:tcPr>
            <w:tcW w:type="dxa" w:w="1440"/>
            <w:tcMar>
              <w:top w:w="100" w:type="dxa"/>
              <w:bottom w:w="100" w:type="dxa"/>
              <w:left w:w="120" w:type="dxa"/>
              <w:right w:w="120" w:type="dxa"/>
            </w:tcMar>
            <w:shd w:fill="F8FAFC"/>
          </w:tcPr>
          <w:p>
            <w:pPr>
              <w:spacing w:line="288" w:lineRule="auto"/>
              <w:jc w:val="center"/>
            </w:pPr>
            <w:r>
              <w:rPr>
                <w:sz w:val="20"/>
              </w:rPr>
              <w:t>1.5, 3.5.4</w:t>
            </w:r>
          </w:p>
        </w:tc>
        <w:tc>
          <w:tcPr>
            <w:tcW w:type="dxa" w:w="1152"/>
            <w:tcMar>
              <w:top w:w="100" w:type="dxa"/>
              <w:bottom w:w="100" w:type="dxa"/>
              <w:left w:w="120" w:type="dxa"/>
              <w:right w:w="120" w:type="dxa"/>
            </w:tcMar>
            <w:shd w:fill="F8FAFC"/>
          </w:tcPr>
          <w:p>
            <w:pPr>
              <w:spacing w:line="288" w:lineRule="auto"/>
              <w:jc w:val="center"/>
            </w:pPr>
            <w:r>
              <w:rPr>
                <w:sz w:val="20"/>
              </w:rPr>
              <w:t>2, 20</w:t>
            </w:r>
          </w:p>
        </w:tc>
      </w:tr>
    </w:tbl>
    <w:p>
      <w:r>
        <w:br w:type="page"/>
      </w:r>
    </w:p>
    <w:p>
      <w:pPr>
        <w:spacing w:before="240" w:after="80"/>
        <w:jc w:val="center"/>
      </w:pPr>
      <w:r>
        <w:rPr>
          <w:b/>
          <w:sz w:val="32"/>
        </w:rPr>
        <w:t>CHAPTER 1</w:t>
        <w:br/>
        <w:t>INTRODUCTION</w:t>
      </w:r>
    </w:p>
    <w:p>
      <w:pPr>
        <w:spacing w:before="280" w:after="80"/>
      </w:pPr>
      <w:r>
        <w:rPr>
          <w:b/>
          <w:sz w:val="26"/>
        </w:rPr>
        <w:t>1.1 Overview</w:t>
      </w:r>
    </w:p>
    <w:p>
      <w:pPr>
        <w:spacing w:line="360" w:lineRule="auto" w:after="120"/>
        <w:jc w:val="both"/>
      </w:pPr>
      <w:r>
        <w:t>In the contemporary judicial landscape, access to authoritative court rulings, timely precedent discovery, and document authenticity form the bedrock of equitable justice. Common law systems, including the Indian judicial framework, operate predominantly under the doctrine of stare decisis, whereby decisions rendered by superior courts—such as the Supreme Court of India and State High Courts—serve as binding legal precedents for subordinate tribunals and coordinate benches. Consequently, legal practitioners, judicial clerks, advocates, and legal researchers spend a substantial portion of their professional routine reading, interpreting, and citing past judgments to substantiate their pleadings.</w:t>
      </w:r>
    </w:p>
    <w:p>
      <w:pPr>
        <w:spacing w:line="360" w:lineRule="auto" w:after="120"/>
        <w:jc w:val="both"/>
      </w:pPr>
      <w:r>
        <w:t>Despite significant digitization milestones through initiatives such as the e-Courts Project, practitioners and registries encounter fundamental technological bottlenecks. Existing legal search engines rely heavily on literal keyword matching, which fails to capture semantic synonyms, contextual nuances, or nuanced statutory principles. Furthermore, digital court documents distributed in PDF formats lack inherent cryptographic tamper-evidence. With unauthorized byte manipulations and deepfake alterations posing threats to digital records, ensuring that an archival document matches its original court-approved rendition is critical. Compounding these vulnerabilities, the widespread adoption of general-purpose generative AI tools has led to incidents of fabricated case citations and non-existent statutory references presented in pleadings. This chapter articulates the purpose, anticipated outcomes, measurable objectives, and practical applications of the Lexguard platform, engineered to solve these critical challenges.</w:t>
      </w:r>
    </w:p>
    <w:p>
      <w:pPr>
        <w:spacing w:before="280" w:after="80"/>
      </w:pPr>
      <w:r>
        <w:rPr>
          <w:b/>
          <w:sz w:val="26"/>
        </w:rPr>
        <w:t>1.2 Purpose</w:t>
      </w:r>
    </w:p>
    <w:p>
      <w:pPr>
        <w:spacing w:line="360" w:lineRule="auto" w:after="120"/>
        <w:jc w:val="both"/>
      </w:pPr>
      <w:r>
        <w:t>The overarching purpose of Lexguard is to construct an automated, cryptographically secure, and intelligent legal research platform that empowers judicial officers, advocates, court registries, and citizens with verifiable court judgments and high-precision precedent discovery. Specifically, Lexguard aims to:</w:t>
        <w:br/>
      </w:r>
    </w:p>
    <w:p>
      <w:pPr>
        <w:pStyle w:val="ListBullet"/>
        <w:spacing w:line="360" w:lineRule="auto" w:after="80"/>
        <w:jc w:val="both"/>
      </w:pPr>
      <w:r>
        <w:rPr>
          <w:b/>
        </w:rPr>
        <w:t xml:space="preserve">Eliminate Citation Hallucination: </w:t>
      </w:r>
      <w:r>
        <w:t>Provide domain-bounded legal assistance wherein every citation, case ratio, and statutory section suggested during drafting is grounded in a verified corpus of indexed judicial records.</w:t>
      </w:r>
    </w:p>
    <w:p>
      <w:pPr>
        <w:pStyle w:val="ListBullet"/>
        <w:spacing w:line="360" w:lineRule="auto" w:after="80"/>
        <w:jc w:val="both"/>
      </w:pPr>
      <w:r>
        <w:rPr>
          <w:b/>
        </w:rPr>
        <w:t xml:space="preserve">Provide Mathematical Tamper-Evidence: </w:t>
      </w:r>
      <w:r>
        <w:t>Implement byte-level cryptographic hashing (SHA-256) and an immutable hash-chained audit ledger, mathematically guaranteeing that modified records trigger immediate quarantine alerts.</w:t>
      </w:r>
    </w:p>
    <w:p>
      <w:pPr>
        <w:pStyle w:val="ListBullet"/>
        <w:spacing w:line="360" w:lineRule="auto" w:after="80"/>
        <w:jc w:val="both"/>
      </w:pPr>
      <w:r>
        <w:rPr>
          <w:b/>
        </w:rPr>
        <w:t xml:space="preserve">Bridge Natural Language and Legal Nomenclature: </w:t>
      </w:r>
      <w:r>
        <w:t>Enable intuitive natural-language legal search that connects layman or colloquial factual descriptions with precise legal statutes through dense neural embeddings.</w:t>
      </w:r>
    </w:p>
    <w:p>
      <w:pPr>
        <w:pStyle w:val="ListBullet"/>
        <w:spacing w:line="360" w:lineRule="auto" w:after="80"/>
        <w:jc w:val="both"/>
      </w:pPr>
      <w:r>
        <w:rPr>
          <w:b/>
        </w:rPr>
        <w:t xml:space="preserve">Streamline Court Review Workflows: </w:t>
      </w:r>
      <w:r>
        <w:t>Provide senior court registries with administrative approval queues, automated metadata extraction (Named Entity Recognition), and continuous document integrity monitors.</w:t>
      </w:r>
    </w:p>
    <w:p>
      <w:pPr>
        <w:spacing w:before="280" w:after="80"/>
      </w:pPr>
      <w:r>
        <w:rPr>
          <w:b/>
          <w:sz w:val="26"/>
        </w:rPr>
        <w:t>1.3 Outcome</w:t>
      </w:r>
    </w:p>
    <w:p>
      <w:pPr>
        <w:spacing w:line="360" w:lineRule="auto" w:after="120"/>
        <w:jc w:val="both"/>
      </w:pPr>
      <w:r>
        <w:t>Upon successful design, implementation, and deployment, the Lexguard system delivers a resilient enterprise-grade software system that achieves the following tangible outcomes:</w:t>
      </w:r>
    </w:p>
    <w:p>
      <w:pPr>
        <w:pStyle w:val="ListBullet"/>
        <w:spacing w:line="360" w:lineRule="auto" w:after="80"/>
        <w:jc w:val="both"/>
      </w:pPr>
      <w:r>
        <w:t>A multi-role web platform supporting Court Staff, Senior Registry, Advocates, Legal Scholars, and Public users, each governed by strict Role-Based Access Control (RBAC).</w:t>
      </w:r>
    </w:p>
    <w:p>
      <w:pPr>
        <w:pStyle w:val="ListBullet"/>
        <w:spacing w:line="360" w:lineRule="auto" w:after="80"/>
        <w:jc w:val="both"/>
      </w:pPr>
      <w:r>
        <w:t>A zero-trust document ingestion engine that extracts legal metadata via PyMuPDF and Named Entity Recognition (NER), verifies duplicate prevention via SHA-256 digests, and queues cases for senior approval.</w:t>
      </w:r>
    </w:p>
    <w:p>
      <w:pPr>
        <w:pStyle w:val="ListBullet"/>
        <w:spacing w:line="360" w:lineRule="auto" w:after="80"/>
        <w:jc w:val="both"/>
      </w:pPr>
      <w:r>
        <w:t>An immutable, sequentially linked cryptographic audit ledger that logs all system mutations and view transactions, rendering log modification impossible without invalidating subsequent block hashes.</w:t>
      </w:r>
    </w:p>
    <w:p>
      <w:pPr>
        <w:pStyle w:val="ListBullet"/>
        <w:spacing w:line="360" w:lineRule="auto" w:after="80"/>
        <w:jc w:val="both"/>
      </w:pPr>
      <w:r>
        <w:t>A hybrid precedent search engine combining dense semantic sentence embeddings (InLegalBERT / all-MiniLM-L6-v2) with relational statutory filters, achieving sub-1.5 second retrieval latency.</w:t>
      </w:r>
    </w:p>
    <w:p>
      <w:pPr>
        <w:pStyle w:val="ListBullet"/>
        <w:spacing w:line="360" w:lineRule="auto" w:after="80"/>
        <w:jc w:val="both"/>
      </w:pPr>
      <w:r>
        <w:t>An interactive legal drafting assistant and comparative matrix enabling advocates to identify unaddressed statutory grounds and compare up to four legal precedents side-by-side in real time.</w:t>
      </w:r>
    </w:p>
    <w:p>
      <w:pPr>
        <w:spacing w:before="280" w:after="80"/>
      </w:pPr>
      <w:r>
        <w:rPr>
          <w:b/>
          <w:sz w:val="26"/>
        </w:rPr>
        <w:t>1.4 Objectives</w:t>
      </w:r>
    </w:p>
    <w:p>
      <w:pPr>
        <w:spacing w:line="360" w:lineRule="auto" w:after="120"/>
        <w:jc w:val="both"/>
      </w:pPr>
      <w:r>
        <w:t>To accomplish the envisaged outcomes, the project defines the following specific, measurable, and technical objectives:</w:t>
      </w:r>
    </w:p>
    <w:p>
      <w:pPr>
        <w:pStyle w:val="ListBullet"/>
        <w:spacing w:line="360" w:lineRule="auto" w:after="80"/>
        <w:jc w:val="both"/>
      </w:pPr>
      <w:r>
        <w:rPr>
          <w:b/>
        </w:rPr>
        <w:t xml:space="preserve">Cryptographic Verification Pipeline: </w:t>
      </w:r>
      <w:r>
        <w:t>Design and implement a streaming SHA-256 file hashing module capable of calculating 256-bit cryptographic fingerprints for multi-megabyte PDFs in under 200 ms.</w:t>
      </w:r>
    </w:p>
    <w:p>
      <w:pPr>
        <w:pStyle w:val="ListBullet"/>
        <w:spacing w:line="360" w:lineRule="auto" w:after="80"/>
        <w:jc w:val="both"/>
      </w:pPr>
      <w:r>
        <w:rPr>
          <w:b/>
        </w:rPr>
        <w:t xml:space="preserve">Hash-Chained Audit Ledger: </w:t>
      </w:r>
      <w:r>
        <w:t>Construct a tamper-evident audit logging mechanism where each transaction block incorporates the cryptographic hash of the prior block, preventing unauthorized database alterations.</w:t>
      </w:r>
    </w:p>
    <w:p>
      <w:pPr>
        <w:pStyle w:val="ListBullet"/>
        <w:spacing w:line="360" w:lineRule="auto" w:after="80"/>
        <w:jc w:val="both"/>
      </w:pPr>
      <w:r>
        <w:rPr>
          <w:b/>
        </w:rPr>
        <w:t xml:space="preserve">Domain-Specific Hybrid Search: </w:t>
      </w:r>
      <w:r>
        <w:t>Formulate and calibrate a score fusion algorithm combining 60% semantic cosine similarity with 40% statutory keyword matching ratio for precision legal precedent ranking.</w:t>
      </w:r>
    </w:p>
    <w:p>
      <w:pPr>
        <w:pStyle w:val="ListBullet"/>
        <w:spacing w:line="360" w:lineRule="auto" w:after="80"/>
        <w:jc w:val="both"/>
      </w:pPr>
      <w:r>
        <w:rPr>
          <w:b/>
        </w:rPr>
        <w:t xml:space="preserve">AI-Assisted Petition Gap Analysis: </w:t>
      </w:r>
      <w:r>
        <w:t>Implement an automated drafting service that parses advocate petitions, extracts statutory sections, compares them with indexed ratio decidendi, and highlights adverse or missing grounds.</w:t>
      </w:r>
    </w:p>
    <w:p>
      <w:pPr>
        <w:pStyle w:val="ListBullet"/>
        <w:spacing w:line="360" w:lineRule="auto" w:after="80"/>
        <w:jc w:val="both"/>
      </w:pPr>
      <w:r>
        <w:rPr>
          <w:b/>
        </w:rPr>
        <w:t xml:space="preserve">Multi-Precedent Comparative Engine: </w:t>
      </w:r>
      <w:r>
        <w:t>Develop a responsive React component allowing legal practitioners to align and contrast judgments across courts, bench compositions, fact patterns, and statutory outcomes.</w:t>
      </w:r>
    </w:p>
    <w:p>
      <w:pPr>
        <w:pStyle w:val="ListBullet"/>
        <w:spacing w:line="360" w:lineRule="auto" w:after="80"/>
        <w:jc w:val="both"/>
      </w:pPr>
      <w:r>
        <w:rPr>
          <w:b/>
        </w:rPr>
        <w:t xml:space="preserve">Hardened Security Architecture: </w:t>
      </w:r>
      <w:r>
        <w:t>Enforce OWASP security benchmarks, including HttpOnly SameSite=Lax JWT authentication, Double-Submit CSRF cookies, and granular Role-Based Access Control.</w:t>
      </w:r>
    </w:p>
    <w:p>
      <w:pPr>
        <w:spacing w:before="280" w:after="80"/>
      </w:pPr>
      <w:r>
        <w:rPr>
          <w:b/>
          <w:sz w:val="26"/>
        </w:rPr>
        <w:t>1.5 Applications</w:t>
      </w:r>
    </w:p>
    <w:p>
      <w:pPr>
        <w:spacing w:line="360" w:lineRule="auto" w:after="120"/>
        <w:jc w:val="both"/>
      </w:pPr>
      <w:r>
        <w:t>The Lexguard platform addresses operational bottlenecks across diverse sectors of the legal ecosystem:</w:t>
        <w:br/>
      </w:r>
    </w:p>
    <w:p>
      <w:pPr>
        <w:pStyle w:val="ListBullet"/>
        <w:spacing w:line="360" w:lineRule="auto" w:after="80"/>
        <w:jc w:val="both"/>
      </w:pPr>
      <w:r>
        <w:rPr>
          <w:b/>
        </w:rPr>
        <w:t xml:space="preserve">High Court and Subordinate Court Registries: </w:t>
      </w:r>
      <w:r>
        <w:t>Serves as an authentic digital registry pipeline for publishing certified orders and judgments, equipped with tamper-detection badges for registry staff.</w:t>
      </w:r>
    </w:p>
    <w:p>
      <w:pPr>
        <w:pStyle w:val="ListBullet"/>
        <w:spacing w:line="360" w:lineRule="auto" w:after="80"/>
        <w:jc w:val="both"/>
      </w:pPr>
      <w:r>
        <w:rPr>
          <w:b/>
        </w:rPr>
        <w:t xml:space="preserve">Advocate Chambers and Legal Firms: </w:t>
      </w:r>
      <w:r>
        <w:t>Accelerates legal research by allowing advocates to locate authoritative case law, verify whether cited authorities have been overturned or modified, and perform automated petition gap checks.</w:t>
      </w:r>
    </w:p>
    <w:p>
      <w:pPr>
        <w:pStyle w:val="ListBullet"/>
        <w:spacing w:line="360" w:lineRule="auto" w:after="80"/>
        <w:jc w:val="both"/>
      </w:pPr>
      <w:r>
        <w:rPr>
          <w:b/>
        </w:rPr>
        <w:t xml:space="preserve">Judicial Academies and Law Universities: </w:t>
      </w:r>
      <w:r>
        <w:t>Provides students, researchers, and legal scholars with a structured environment to analyze judicial trends, compare conflicting High Court rulings, and examine ratio decidendi across landmark constitutional judgments.</w:t>
      </w:r>
    </w:p>
    <w:p>
      <w:pPr>
        <w:pStyle w:val="ListBullet"/>
        <w:spacing w:line="360" w:lineRule="auto" w:after="80"/>
        <w:jc w:val="both"/>
      </w:pPr>
      <w:r>
        <w:rPr>
          <w:b/>
        </w:rPr>
        <w:t xml:space="preserve">Public Legal Information Portals: </w:t>
      </w:r>
      <w:r>
        <w:t>Facilitates open judicial transparency by presenting PII-redacted case summaries and tamper-verified judgments to citizens, upholding the public's right to judicial information without privacy compromises.</w:t>
      </w:r>
    </w:p>
    <w:p>
      <w:r>
        <w:br w:type="page"/>
      </w:r>
    </w:p>
    <w:p>
      <w:pPr>
        <w:spacing w:before="240" w:after="80"/>
        <w:jc w:val="center"/>
      </w:pPr>
      <w:r>
        <w:rPr>
          <w:b/>
          <w:sz w:val="32"/>
        </w:rPr>
        <w:t>CHAPTER 2</w:t>
        <w:br/>
        <w:t>EXISTING &amp; PROPOSED MODEL</w:t>
      </w:r>
    </w:p>
    <w:p>
      <w:pPr>
        <w:spacing w:before="280" w:after="80"/>
      </w:pPr>
      <w:r>
        <w:rPr>
          <w:b/>
          <w:sz w:val="26"/>
        </w:rPr>
        <w:t>2.1 Existing System</w:t>
      </w:r>
    </w:p>
    <w:p>
      <w:pPr>
        <w:spacing w:line="360" w:lineRule="auto" w:after="120"/>
        <w:jc w:val="both"/>
      </w:pPr>
      <w:r>
        <w:t>In current legal research and judicial workflow practices, advocates, judicial law clerks, legal researchers, and court administrative staff rely predominantly on traditional legal databases (such as SCC Online, Manupatra, Indian Kanoon), official High Court and Supreme Court web portals, or physical paper-bound case law archives. The search paradigm in existing platforms is fundamentally lexical and keyword-dependent. A researcher is expected to furnish exact statutory citations (e.g., 'Section 439 CrPC'), Case Number Records (CNR), party titles, or rigid Boolean keyword strings.</w:t>
      </w:r>
    </w:p>
    <w:p>
      <w:pPr>
        <w:spacing w:line="360" w:lineRule="auto" w:after="120"/>
        <w:jc w:val="both"/>
      </w:pPr>
      <w:r>
        <w:t>When managing case judgments, courts distribute signed or digitally watermarked PDF documents across varied web registries and email circulations. However, once downloaded by advocates or secondary publishers, these files exist as static, unmonitored digital assets. In parallel, with the surge of modern commercial Generative AI assistants, legal practitioners frequently copy draft pleadings into public generative models to obtain precedent recommendations and comparative case points, unwittingly exposing confidential client data while relying on unchecked generative outputs.</w:t>
      </w:r>
    </w:p>
    <w:p>
      <w:pPr>
        <w:spacing w:before="280" w:after="80"/>
      </w:pPr>
      <w:r>
        <w:rPr>
          <w:b/>
          <w:sz w:val="26"/>
        </w:rPr>
        <w:t>2.2 Limitations of Existing System</w:t>
      </w:r>
    </w:p>
    <w:p>
      <w:pPr>
        <w:spacing w:line="360" w:lineRule="auto" w:after="120"/>
        <w:jc w:val="both"/>
      </w:pPr>
      <w:r>
        <w:t>Despite widespread computerized cataloging, existing legal software architectures suffer from substantial security, algorithmic, and operational deficiencies:</w:t>
      </w:r>
    </w:p>
    <w:p>
      <w:pPr>
        <w:pStyle w:val="ListBullet"/>
        <w:spacing w:line="360" w:lineRule="auto" w:after="80"/>
        <w:jc w:val="both"/>
      </w:pPr>
      <w:r>
        <w:rPr>
          <w:b/>
        </w:rPr>
        <w:t xml:space="preserve">Vulnerability to Document Tampering and Modification: </w:t>
      </w:r>
      <w:r>
        <w:t>Standard judgment PDFs lack embedded cryptographic verification mechanisms. If a malicious party or intermediary alters dates, monetary penalties, or operative acquittal/conviction paragraphs, neither the advocate nor the bench has an instant client-side mechanism to prove unauthorized modification.</w:t>
      </w:r>
    </w:p>
    <w:p>
      <w:pPr>
        <w:pStyle w:val="ListBullet"/>
        <w:spacing w:line="360" w:lineRule="auto" w:after="80"/>
        <w:jc w:val="both"/>
      </w:pPr>
      <w:r>
        <w:rPr>
          <w:b/>
        </w:rPr>
        <w:t xml:space="preserve">Fragile Database Audit Logs: </w:t>
      </w:r>
      <w:r>
        <w:t>Traditional court database systems maintain transaction logs in standard relational tables. System administrators or privileged database users can retroactively delete, append, or modify audit entries without leaving mathematical evidence of tampering.</w:t>
      </w:r>
    </w:p>
    <w:p>
      <w:pPr>
        <w:pStyle w:val="ListBullet"/>
        <w:spacing w:line="360" w:lineRule="auto" w:after="80"/>
        <w:jc w:val="both"/>
      </w:pPr>
      <w:r>
        <w:rPr>
          <w:b/>
        </w:rPr>
        <w:t xml:space="preserve">Vocabulary Mismatch in Keyword-Based Search: </w:t>
      </w:r>
      <w:r>
        <w:t>Literal keyword engines are incapable of semantic bridging. If an advocate queries 'default bail on grounds of delay in filing charge sheet', but the landmark judgment phrases the ratio as 'indefeasible statutory right to release under Section 167(2)', the query fails to surface the authority.</w:t>
      </w:r>
    </w:p>
    <w:p>
      <w:pPr>
        <w:pStyle w:val="ListBullet"/>
        <w:spacing w:line="360" w:lineRule="auto" w:after="80"/>
        <w:jc w:val="both"/>
      </w:pPr>
      <w:r>
        <w:rPr>
          <w:b/>
        </w:rPr>
        <w:t xml:space="preserve">Severe AI Citation Hallucination Risks: </w:t>
      </w:r>
      <w:r>
        <w:t>Generic Large Language Models (LLMs) operate on token probability distributions rather than grounded judicial factuality. In high-stakes court proceedings, these models regularly invent fabricated case titles, fake judgment citations, and false statutory interpretations, exposing advocates to judicial contempt and professional disbarment.</w:t>
      </w:r>
    </w:p>
    <w:p>
      <w:pPr>
        <w:pStyle w:val="ListBullet"/>
        <w:spacing w:line="360" w:lineRule="auto" w:after="80"/>
        <w:jc w:val="both"/>
      </w:pPr>
      <w:r>
        <w:rPr>
          <w:b/>
        </w:rPr>
        <w:t xml:space="preserve">Fragmented and Manual Precedent Comparison: </w:t>
      </w:r>
      <w:r>
        <w:t>Comparing multiple conflicting precedents requires advocates to manually toggle between multiple open PDF windows or printed documents, significantly multiplying cognitive load and legal error.</w:t>
      </w:r>
    </w:p>
    <w:p>
      <w:pPr>
        <w:pStyle w:val="ListBullet"/>
        <w:spacing w:line="360" w:lineRule="auto" w:after="80"/>
        <w:jc w:val="both"/>
      </w:pPr>
      <w:r>
        <w:rPr>
          <w:b/>
        </w:rPr>
        <w:t xml:space="preserve">Absence of Automated Petition Gap Checking: </w:t>
      </w:r>
      <w:r>
        <w:t>Junior advocates have no systematic mechanism to scan draft pleadings before filing to identify overlooked statutory provisions, unaddressed adverse precedents, or mandatory procedural grounds.</w:t>
      </w:r>
    </w:p>
    <w:p>
      <w:pPr>
        <w:spacing w:before="280" w:after="80"/>
      </w:pPr>
      <w:r>
        <w:rPr>
          <w:b/>
          <w:sz w:val="26"/>
        </w:rPr>
        <w:t>2.3 Proposed System</w:t>
      </w:r>
    </w:p>
    <w:p>
      <w:pPr>
        <w:spacing w:line="360" w:lineRule="auto" w:after="120"/>
        <w:jc w:val="both"/>
      </w:pPr>
      <w:r>
        <w:t>The proposed Lexguard platform is an automated, web-based legal research and cryptographic verification platform designed to resolve each fundamental vulnerability of the existing ecosystem. Lexguard bridges advanced applied Natural Language Processing (NLP) with cryptographic data integrity to guarantee authentic, tamper-evident judicial knowledge management.</w:t>
      </w:r>
    </w:p>
    <w:p>
      <w:pPr>
        <w:spacing w:line="360" w:lineRule="auto" w:after="120"/>
        <w:jc w:val="both"/>
      </w:pPr>
      <w:r>
        <w:t>Under the proposed architecture, every uploaded judgment PDF passes through an automated streaming SHA-256 ingestion pipeline. The resulting 256-bit hexadecimal digest is committed to the database record. Whenever any user accesses or reviews a document, the platform performs real-time SHA-256 re-hashing directly from disk bytes; if even a single bit has been altered, the viewer displays an immediate quarantine alert. Furthermore, Lexguard introduces a sequentially linked, hash-chained audit ledger wherein every system event incorporates the SHA-256 hash of its predecessor, establishing immutable non-repudiation.</w:t>
      </w:r>
    </w:p>
    <w:p>
      <w:pPr>
        <w:spacing w:line="360" w:lineRule="auto" w:after="120"/>
        <w:jc w:val="both"/>
      </w:pPr>
      <w:r>
        <w:t>For precedent retrieval, Lexguard pioneers a hybrid score fusion engine. Queries are embedded into dense 384-dimensional vector representations using domain-adapted transformer models (InLegalBERT / all-MiniLM-L6-v2), which are fused with structured SQL filters for exact statutory provisions (IPC, CrPC, NI Act). An integrated AI Draft Assistant allows advocates to paste draft petitions and receive real-time, anti-hallucinatory gap analyses, suggesting only verified, indexed judgments with one-click citation insertion.</w:t>
      </w:r>
    </w:p>
    <w:p>
      <w:pPr>
        <w:spacing w:before="280" w:after="80"/>
      </w:pPr>
      <w:r>
        <w:rPr>
          <w:b/>
          <w:sz w:val="26"/>
        </w:rPr>
        <w:t>2.4 Advantages of Proposed System</w:t>
      </w:r>
    </w:p>
    <w:p>
      <w:pPr>
        <w:spacing w:line="360" w:lineRule="auto" w:after="120"/>
        <w:jc w:val="both"/>
      </w:pPr>
      <w:r>
        <w:t>The proposed platform provides distinct technical and operational advantages over legacy legal databases, as summarized below:</w:t>
      </w:r>
    </w:p>
    <w:tbl>
      <w:tblPr>
        <w:tblW w:type="auto" w:w="0"/>
        <w:jc w:val="center"/>
        <w:tblLook w:firstColumn="1" w:firstRow="1" w:lastColumn="0" w:lastRow="0" w:noHBand="0" w:noVBand="1" w:val="04A0"/>
      </w:tblPr>
      <w:tblGrid>
        <w:gridCol w:w="2880"/>
        <w:gridCol w:w="3168"/>
        <w:gridCol w:w="3312"/>
      </w:tblGrid>
      <w:tr>
        <w:tc>
          <w:tcPr>
            <w:tcW w:type="dxa" w:w="3000"/>
            <w:tcMar>
              <w:top w:w="120" w:type="dxa"/>
              <w:bottom w:w="120" w:type="dxa"/>
              <w:left w:w="120" w:type="dxa"/>
              <w:right w:w="120" w:type="dxa"/>
            </w:tcMar>
            <w:shd w:fill="E0E7FF"/>
          </w:tcPr>
          <w:p>
            <w:pPr>
              <w:jc w:val="center"/>
            </w:pPr>
            <w:r>
              <w:rPr>
                <w:b/>
                <w:sz w:val="21"/>
              </w:rPr>
              <w:t>Evaluation Metric</w:t>
            </w:r>
          </w:p>
        </w:tc>
        <w:tc>
          <w:tcPr>
            <w:tcW w:type="dxa" w:w="3000"/>
            <w:tcMar>
              <w:top w:w="120" w:type="dxa"/>
              <w:bottom w:w="120" w:type="dxa"/>
              <w:left w:w="120" w:type="dxa"/>
              <w:right w:w="120" w:type="dxa"/>
            </w:tcMar>
            <w:shd w:fill="E0E7FF"/>
          </w:tcPr>
          <w:p>
            <w:pPr>
              <w:jc w:val="center"/>
            </w:pPr>
            <w:r>
              <w:rPr>
                <w:b/>
                <w:sz w:val="21"/>
              </w:rPr>
              <w:t>Existing Systems</w:t>
            </w:r>
          </w:p>
        </w:tc>
        <w:tc>
          <w:tcPr>
            <w:tcW w:type="dxa" w:w="3000"/>
            <w:tcMar>
              <w:top w:w="120" w:type="dxa"/>
              <w:bottom w:w="120" w:type="dxa"/>
              <w:left w:w="120" w:type="dxa"/>
              <w:right w:w="120" w:type="dxa"/>
            </w:tcMar>
            <w:shd w:fill="E0E7FF"/>
          </w:tcPr>
          <w:p>
            <w:pPr>
              <w:jc w:val="center"/>
            </w:pPr>
            <w:r>
              <w:rPr>
                <w:b/>
                <w:sz w:val="21"/>
              </w:rPr>
              <w:t>Proposed Lexguard System</w:t>
            </w:r>
          </w:p>
        </w:tc>
      </w:tr>
      <w:tr>
        <w:tc>
          <w:tcPr>
            <w:tcW w:type="dxa" w:w="2880"/>
            <w:tcMar>
              <w:top w:w="100" w:type="dxa"/>
              <w:bottom w:w="100" w:type="dxa"/>
              <w:left w:w="120" w:type="dxa"/>
              <w:right w:w="120" w:type="dxa"/>
            </w:tcMar>
          </w:tcPr>
          <w:p>
            <w:pPr>
              <w:spacing w:line="288" w:lineRule="auto"/>
              <w:jc w:val="left"/>
            </w:pPr>
            <w:r>
              <w:rPr>
                <w:b/>
                <w:sz w:val="19"/>
              </w:rPr>
              <w:t>Document Integrity Guarantee</w:t>
            </w:r>
          </w:p>
        </w:tc>
        <w:tc>
          <w:tcPr>
            <w:tcW w:type="dxa" w:w="3168"/>
            <w:tcMar>
              <w:top w:w="100" w:type="dxa"/>
              <w:bottom w:w="100" w:type="dxa"/>
              <w:left w:w="120" w:type="dxa"/>
              <w:right w:w="120" w:type="dxa"/>
            </w:tcMar>
          </w:tcPr>
          <w:p>
            <w:pPr>
              <w:spacing w:line="288" w:lineRule="auto"/>
              <w:jc w:val="both"/>
            </w:pPr>
            <w:r>
              <w:rPr>
                <w:sz w:val="19"/>
              </w:rPr>
              <w:t>None. Relies on visual inspection or unverified PDF watermarks.</w:t>
            </w:r>
          </w:p>
        </w:tc>
        <w:tc>
          <w:tcPr>
            <w:tcW w:type="dxa" w:w="3312"/>
            <w:tcMar>
              <w:top w:w="100" w:type="dxa"/>
              <w:bottom w:w="100" w:type="dxa"/>
              <w:left w:w="120" w:type="dxa"/>
              <w:right w:w="120" w:type="dxa"/>
            </w:tcMar>
          </w:tcPr>
          <w:p>
            <w:pPr>
              <w:spacing w:line="288" w:lineRule="auto"/>
              <w:jc w:val="both"/>
            </w:pPr>
            <w:r>
              <w:rPr>
                <w:sz w:val="19"/>
              </w:rPr>
              <w:t>Streaming SHA-256 cryptographic byte verification with live status badges.</w:t>
            </w:r>
          </w:p>
        </w:tc>
      </w:tr>
      <w:tr>
        <w:tc>
          <w:tcPr>
            <w:tcW w:type="dxa" w:w="2880"/>
            <w:tcMar>
              <w:top w:w="100" w:type="dxa"/>
              <w:bottom w:w="100" w:type="dxa"/>
              <w:left w:w="120" w:type="dxa"/>
              <w:right w:w="120" w:type="dxa"/>
            </w:tcMar>
            <w:shd w:fill="F8FAFC"/>
          </w:tcPr>
          <w:p>
            <w:pPr>
              <w:spacing w:line="288" w:lineRule="auto"/>
              <w:jc w:val="left"/>
            </w:pPr>
            <w:r>
              <w:rPr>
                <w:b/>
                <w:sz w:val="19"/>
              </w:rPr>
              <w:t>Audit Trail Tamper-Resistance</w:t>
            </w:r>
          </w:p>
        </w:tc>
        <w:tc>
          <w:tcPr>
            <w:tcW w:type="dxa" w:w="3168"/>
            <w:tcMar>
              <w:top w:w="100" w:type="dxa"/>
              <w:bottom w:w="100" w:type="dxa"/>
              <w:left w:w="120" w:type="dxa"/>
              <w:right w:w="120" w:type="dxa"/>
            </w:tcMar>
            <w:shd w:fill="F8FAFC"/>
          </w:tcPr>
          <w:p>
            <w:pPr>
              <w:spacing w:line="288" w:lineRule="auto"/>
              <w:jc w:val="both"/>
            </w:pPr>
            <w:r>
              <w:rPr>
                <w:sz w:val="19"/>
              </w:rPr>
              <w:t>Standard relational database logs easily manipulated by DBAs.</w:t>
            </w:r>
          </w:p>
        </w:tc>
        <w:tc>
          <w:tcPr>
            <w:tcW w:type="dxa" w:w="3312"/>
            <w:tcMar>
              <w:top w:w="100" w:type="dxa"/>
              <w:bottom w:w="100" w:type="dxa"/>
              <w:left w:w="120" w:type="dxa"/>
              <w:right w:w="120" w:type="dxa"/>
            </w:tcMar>
            <w:shd w:fill="F8FAFC"/>
          </w:tcPr>
          <w:p>
            <w:pPr>
              <w:spacing w:line="288" w:lineRule="auto"/>
              <w:jc w:val="both"/>
            </w:pPr>
            <w:r>
              <w:rPr>
                <w:sz w:val="19"/>
              </w:rPr>
              <w:t>Sequentially linked, cryptographic hash-chained ledger (prev_hash + current_data).</w:t>
            </w:r>
          </w:p>
        </w:tc>
      </w:tr>
      <w:tr>
        <w:tc>
          <w:tcPr>
            <w:tcW w:type="dxa" w:w="2880"/>
            <w:tcMar>
              <w:top w:w="100" w:type="dxa"/>
              <w:bottom w:w="100" w:type="dxa"/>
              <w:left w:w="120" w:type="dxa"/>
              <w:right w:w="120" w:type="dxa"/>
            </w:tcMar>
          </w:tcPr>
          <w:p>
            <w:pPr>
              <w:spacing w:line="288" w:lineRule="auto"/>
              <w:jc w:val="left"/>
            </w:pPr>
            <w:r>
              <w:rPr>
                <w:b/>
                <w:sz w:val="19"/>
              </w:rPr>
              <w:t>Precedent Retrieval Method</w:t>
            </w:r>
          </w:p>
        </w:tc>
        <w:tc>
          <w:tcPr>
            <w:tcW w:type="dxa" w:w="3168"/>
            <w:tcMar>
              <w:top w:w="100" w:type="dxa"/>
              <w:bottom w:w="100" w:type="dxa"/>
              <w:left w:w="120" w:type="dxa"/>
              <w:right w:w="120" w:type="dxa"/>
            </w:tcMar>
          </w:tcPr>
          <w:p>
            <w:pPr>
              <w:spacing w:line="288" w:lineRule="auto"/>
              <w:jc w:val="both"/>
            </w:pPr>
            <w:r>
              <w:rPr>
                <w:sz w:val="19"/>
              </w:rPr>
              <w:t>Strict literal keyword and Boolean matching; high rate of missed cases.</w:t>
            </w:r>
          </w:p>
        </w:tc>
        <w:tc>
          <w:tcPr>
            <w:tcW w:type="dxa" w:w="3312"/>
            <w:tcMar>
              <w:top w:w="100" w:type="dxa"/>
              <w:bottom w:w="100" w:type="dxa"/>
              <w:left w:w="120" w:type="dxa"/>
              <w:right w:w="120" w:type="dxa"/>
            </w:tcMar>
          </w:tcPr>
          <w:p>
            <w:pPr>
              <w:spacing w:line="288" w:lineRule="auto"/>
              <w:jc w:val="both"/>
            </w:pPr>
            <w:r>
              <w:rPr>
                <w:sz w:val="19"/>
              </w:rPr>
              <w:t>Hybrid score fusion: 60% dense semantic embeddings + 40% statutory keyword filters.</w:t>
            </w:r>
          </w:p>
        </w:tc>
      </w:tr>
      <w:tr>
        <w:tc>
          <w:tcPr>
            <w:tcW w:type="dxa" w:w="2880"/>
            <w:tcMar>
              <w:top w:w="100" w:type="dxa"/>
              <w:bottom w:w="100" w:type="dxa"/>
              <w:left w:w="120" w:type="dxa"/>
              <w:right w:w="120" w:type="dxa"/>
            </w:tcMar>
            <w:shd w:fill="F8FAFC"/>
          </w:tcPr>
          <w:p>
            <w:pPr>
              <w:spacing w:line="288" w:lineRule="auto"/>
              <w:jc w:val="left"/>
            </w:pPr>
            <w:r>
              <w:rPr>
                <w:b/>
                <w:sz w:val="19"/>
              </w:rPr>
              <w:t>AI Safety &amp; Hallucination</w:t>
            </w:r>
          </w:p>
        </w:tc>
        <w:tc>
          <w:tcPr>
            <w:tcW w:type="dxa" w:w="3168"/>
            <w:tcMar>
              <w:top w:w="100" w:type="dxa"/>
              <w:bottom w:w="100" w:type="dxa"/>
              <w:left w:w="120" w:type="dxa"/>
              <w:right w:w="120" w:type="dxa"/>
            </w:tcMar>
            <w:shd w:fill="F8FAFC"/>
          </w:tcPr>
          <w:p>
            <w:pPr>
              <w:spacing w:line="288" w:lineRule="auto"/>
              <w:jc w:val="both"/>
            </w:pPr>
            <w:r>
              <w:rPr>
                <w:sz w:val="19"/>
              </w:rPr>
              <w:t>Unconstrained generic LLM queries; frequent fabricated citations.</w:t>
            </w:r>
          </w:p>
        </w:tc>
        <w:tc>
          <w:tcPr>
            <w:tcW w:type="dxa" w:w="3312"/>
            <w:tcMar>
              <w:top w:w="100" w:type="dxa"/>
              <w:bottom w:w="100" w:type="dxa"/>
              <w:left w:w="120" w:type="dxa"/>
              <w:right w:w="120" w:type="dxa"/>
            </w:tcMar>
            <w:shd w:fill="F8FAFC"/>
          </w:tcPr>
          <w:p>
            <w:pPr>
              <w:spacing w:line="288" w:lineRule="auto"/>
              <w:jc w:val="both"/>
            </w:pPr>
            <w:r>
              <w:rPr>
                <w:sz w:val="19"/>
              </w:rPr>
              <w:t>Zero-hallucination constraint; citations strictly mapped to verified database records.</w:t>
            </w:r>
          </w:p>
        </w:tc>
      </w:tr>
      <w:tr>
        <w:tc>
          <w:tcPr>
            <w:tcW w:type="dxa" w:w="2880"/>
            <w:tcMar>
              <w:top w:w="100" w:type="dxa"/>
              <w:bottom w:w="100" w:type="dxa"/>
              <w:left w:w="120" w:type="dxa"/>
              <w:right w:w="120" w:type="dxa"/>
            </w:tcMar>
          </w:tcPr>
          <w:p>
            <w:pPr>
              <w:spacing w:line="288" w:lineRule="auto"/>
              <w:jc w:val="left"/>
            </w:pPr>
            <w:r>
              <w:rPr>
                <w:b/>
                <w:sz w:val="19"/>
              </w:rPr>
              <w:t>Multi-Precedent Analysis</w:t>
            </w:r>
          </w:p>
        </w:tc>
        <w:tc>
          <w:tcPr>
            <w:tcW w:type="dxa" w:w="3168"/>
            <w:tcMar>
              <w:top w:w="100" w:type="dxa"/>
              <w:bottom w:w="100" w:type="dxa"/>
              <w:left w:w="120" w:type="dxa"/>
              <w:right w:w="120" w:type="dxa"/>
            </w:tcMar>
          </w:tcPr>
          <w:p>
            <w:pPr>
              <w:spacing w:line="288" w:lineRule="auto"/>
              <w:jc w:val="both"/>
            </w:pPr>
            <w:r>
              <w:rPr>
                <w:sz w:val="19"/>
              </w:rPr>
              <w:t>Manual switching between disconnected PDF windows or physical books.</w:t>
            </w:r>
          </w:p>
        </w:tc>
        <w:tc>
          <w:tcPr>
            <w:tcW w:type="dxa" w:w="3312"/>
            <w:tcMar>
              <w:top w:w="100" w:type="dxa"/>
              <w:bottom w:w="100" w:type="dxa"/>
              <w:left w:w="120" w:type="dxa"/>
              <w:right w:w="120" w:type="dxa"/>
            </w:tcMar>
          </w:tcPr>
          <w:p>
            <w:pPr>
              <w:spacing w:line="288" w:lineRule="auto"/>
              <w:jc w:val="both"/>
            </w:pPr>
            <w:r>
              <w:rPr>
                <w:sz w:val="19"/>
              </w:rPr>
              <w:t>Side-by-side interactive comparator matrix aligning facts, statutes, and ratios.</w:t>
            </w:r>
          </w:p>
        </w:tc>
      </w:tr>
      <w:tr>
        <w:tc>
          <w:tcPr>
            <w:tcW w:type="dxa" w:w="2880"/>
            <w:tcMar>
              <w:top w:w="100" w:type="dxa"/>
              <w:bottom w:w="100" w:type="dxa"/>
              <w:left w:w="120" w:type="dxa"/>
              <w:right w:w="120" w:type="dxa"/>
            </w:tcMar>
            <w:shd w:fill="F8FAFC"/>
          </w:tcPr>
          <w:p>
            <w:pPr>
              <w:spacing w:line="288" w:lineRule="auto"/>
              <w:jc w:val="left"/>
            </w:pPr>
            <w:r>
              <w:rPr>
                <w:b/>
                <w:sz w:val="19"/>
              </w:rPr>
              <w:t>Application Security</w:t>
            </w:r>
          </w:p>
        </w:tc>
        <w:tc>
          <w:tcPr>
            <w:tcW w:type="dxa" w:w="3168"/>
            <w:tcMar>
              <w:top w:w="100" w:type="dxa"/>
              <w:bottom w:w="100" w:type="dxa"/>
              <w:left w:w="120" w:type="dxa"/>
              <w:right w:w="120" w:type="dxa"/>
            </w:tcMar>
            <w:shd w:fill="F8FAFC"/>
          </w:tcPr>
          <w:p>
            <w:pPr>
              <w:spacing w:line="288" w:lineRule="auto"/>
              <w:jc w:val="both"/>
            </w:pPr>
            <w:r>
              <w:rPr>
                <w:sz w:val="19"/>
              </w:rPr>
              <w:t>Basic session cookies, vulnerable to CSRF, XSS, and credential leaks.</w:t>
            </w:r>
          </w:p>
        </w:tc>
        <w:tc>
          <w:tcPr>
            <w:tcW w:type="dxa" w:w="3312"/>
            <w:tcMar>
              <w:top w:w="100" w:type="dxa"/>
              <w:bottom w:w="100" w:type="dxa"/>
              <w:left w:w="120" w:type="dxa"/>
              <w:right w:w="120" w:type="dxa"/>
            </w:tcMar>
            <w:shd w:fill="F8FAFC"/>
          </w:tcPr>
          <w:p>
            <w:pPr>
              <w:spacing w:line="288" w:lineRule="auto"/>
              <w:jc w:val="both"/>
            </w:pPr>
            <w:r>
              <w:rPr>
                <w:sz w:val="19"/>
              </w:rPr>
              <w:t>Strict OWASP headers, Double-Submit CSRF tokens, HttpOnly SameSite=Lax JWT cookies.</w:t>
            </w:r>
          </w:p>
        </w:tc>
      </w:tr>
    </w:tbl>
    <w:p>
      <w:pPr>
        <w:spacing w:before="320" w:after="80"/>
      </w:pPr>
      <w:r>
        <w:rPr>
          <w:b/>
          <w:sz w:val="26"/>
        </w:rPr>
        <w:t>2.5 Feasibility Study</w:t>
      </w:r>
    </w:p>
    <w:p>
      <w:pPr>
        <w:spacing w:line="360" w:lineRule="auto" w:after="120"/>
        <w:jc w:val="both"/>
      </w:pPr>
      <w:r>
        <w:t>A comprehensive feasibility study was undertaken across technical, operational, and economic dimensions to ascertain the viability, scalability, and long-term sustainability of the Lexguard platform.</w:t>
      </w:r>
    </w:p>
    <w:p>
      <w:pPr>
        <w:spacing w:before="160" w:after="80"/>
      </w:pPr>
      <w:r>
        <w:rPr>
          <w:b/>
          <w:sz w:val="24"/>
        </w:rPr>
        <w:t>2.5.1 Technical Feasibility</w:t>
      </w:r>
    </w:p>
    <w:p>
      <w:pPr>
        <w:spacing w:line="360" w:lineRule="auto" w:after="120"/>
        <w:jc w:val="both"/>
      </w:pPr>
      <w:r>
        <w:t>The technical feasibility evaluates the availability of hardware, development frameworks, and AI transformer models required to engineer Lexguard. The platform is engineered with Python 3.11, FastAPI, and React 18, all of which exhibit mature package ecosystems, rich documentation, and active developer communities. The AI pipeline harnesses locally deployed Sentence-Transformers (`all-MiniLM-L6-v2`) and InLegalBERT, which execute inference with minimal computational footprint on standard CPU or modest GPU architectures without requiring costly external cloud API calls. SQLite and PostgreSQL with `pgvector` provide robust relational and vector indexing capabilities. As modern development workstations comfortably support local execution of these components, the project proves technically feasible.</w:t>
      </w:r>
    </w:p>
    <w:p>
      <w:pPr>
        <w:spacing w:before="160" w:after="80"/>
      </w:pPr>
      <w:r>
        <w:rPr>
          <w:b/>
          <w:sz w:val="24"/>
        </w:rPr>
        <w:t>2.5.2 Operational Feasibility</w:t>
      </w:r>
    </w:p>
    <w:p>
      <w:pPr>
        <w:spacing w:line="360" w:lineRule="auto" w:after="120"/>
        <w:jc w:val="both"/>
      </w:pPr>
      <w:r>
        <w:t>Operational feasibility assesses how seamlessly the software aligns with existing legal professional behaviors. Lexguard requires no radical overhaul of court registry processes. Junior staff continue uploading case PDFs through an intuitive form; the platform automatically extracts CNR metadata, generates SHA-256 hashes, and routes files to a senior approval queue. Advocates and legal scholars interact with a streamlined search interface with familiar statutory filters, accompanied by an interactive petition gap analysis panel. By preserving conventional judicial document hierarchies while delivering automated cryptographic verification and precedent retrieval, Lexguard ensures high user adoption and operational feasibility.</w:t>
      </w:r>
    </w:p>
    <w:p>
      <w:pPr>
        <w:spacing w:before="160" w:after="80"/>
      </w:pPr>
      <w:r>
        <w:rPr>
          <w:b/>
          <w:sz w:val="24"/>
        </w:rPr>
        <w:t>2.5.3 Economic Feasibility</w:t>
      </w:r>
    </w:p>
    <w:p>
      <w:pPr>
        <w:spacing w:line="360" w:lineRule="auto" w:after="120"/>
        <w:jc w:val="both"/>
      </w:pPr>
      <w:r>
        <w:t>Economic feasibility assesses the budgetary requirements for implementation, hardware acquisition, licensing, and operational maintenance. Lexguard is constructed entirely upon Free and Open-Source Software (FOSS) technologies, eliminating enterprise database licensing fees (such as Oracle or Microsoft SQL Server) and expensive proprietary search API subscriptions. The application runs efficiently on existing institutional servers and personal development workstations with minimal memory requirements (8 GB RAM). Consequently, the capital and recurring operational expenditures remain negligible, establishing exceptional economic feasibility.</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