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and intellectually demanding responsibilities within the judicial system.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the advent of generic large language model (LLM) tools has exacerbated risks in legal drafting: commercial AI chat systems regularly produce hallucinated case names, fabricated citations, and erroneous statutory interpretations that introduce severe ethical and professional liabilities before courts of law. To systematically address these institutional challenges, this work presents Lexguard, an automated, secure, and web-based Legal Case Research and Cryptographic Verification Platform.</w:t>
      </w:r>
    </w:p>
    <w:p>
      <w:pPr>
        <w:spacing w:line="360" w:lineRule="auto" w:after="160"/>
        <w:jc w:val="both"/>
      </w:pPr>
      <w:r>
        <w:t>Lexguard establishes a zero-trust, role-based judicial repository that tightly couples cryptographic document integrity verification with domain-tailored legal intelligence. The core security pipeline implements streaming SHA-256 byte hashing upon document ingestion, paired with an immutable, hash-chained audit ledger. Every operational event—ranging from judgment document ingestion and administrative metadata approval to petition gap analyses and document views—is sequentially committed into a cryptographic ledger wherein each block embeds the SHA-256 digest of its predecessor, establishing non-repudiable and tamper-evident traceability.</w:t>
      </w:r>
    </w:p>
    <w:p>
      <w:pPr>
        <w:spacing w:line="360" w:lineRule="auto" w:after="160"/>
        <w:jc w:val="both"/>
      </w:pPr>
      <w:r>
        <w:t>For precedent discovery, Lexguard features a hybrid search engine fusing dense semantic sentence representations (Sentence-Transformers and InLegalBERT embeddings) with structured statutory PostgreSQL / SQLite filters. This architecture enables advocates to retrieve authoritative judgments based on conceptual and contextual legal narratives, even when colloquial phrasing differs from exact statutory nomenclature. Additionally, an integrated AI Draft Assistant scans draft advocate petitions, detects missing statutory grounds (under the Indian Penal Code, Code of Criminal Procedure, and Negotiable Instruments Act), identifies unaddressed adverse precedents, and cross-references authoritative repository holdings with a strict zero-hallucination guarantee. Lexguard is realized through a decoupled asynchronous FastAPI backend, a responsive React 18 interface styled with Tailwind CSS, and optimized relational vector indexing, delivering a resilient, high-speed, and cryptographically verified legal research workflow.</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Page No.</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and immutable, hash-chained audit logging.</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1, 3, 6, 24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semantic vector embeddings (InLegalBERT), and automated legal precedent score fusion.</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1, 16, 25</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2, 4</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2, 20</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State High Courts—serve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nuanced statutory principles. Furthermore, digital court documents distributed in PDF formats lack inherent cryptographic tamper-evidence. With unauthorized byte manipulations and deepfake alterations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12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 Specifically, Lexguard aims to:</w:t>
        <w:br/>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in a verified corpus of indexed judicial records.</w:t>
      </w:r>
    </w:p>
    <w:p>
      <w:pPr>
        <w:pStyle w:val="ListBullet"/>
        <w:spacing w:line="360" w:lineRule="auto" w:after="80"/>
        <w:jc w:val="both"/>
      </w:pPr>
      <w:r>
        <w:rPr>
          <w:b/>
        </w:rPr>
        <w:t xml:space="preserve">Provide Mathematical Tamper-Evidence: </w:t>
      </w:r>
      <w:r>
        <w:t>Implement byte-level cryptographic hashing (SHA-256) and an immutable hash-chained audit ledger, mathematically guaranteeing that modified records trigger immediate quarantine alerts.</w:t>
      </w:r>
    </w:p>
    <w:p>
      <w:pPr>
        <w:pStyle w:val="ListBullet"/>
        <w:spacing w:line="360" w:lineRule="auto" w:after="80"/>
        <w:jc w:val="both"/>
      </w:pPr>
      <w:r>
        <w:rPr>
          <w:b/>
        </w:rPr>
        <w:t xml:space="preserve">Bridge Natural Language and Legal Nomenclature: </w:t>
      </w:r>
      <w:r>
        <w:t>Enable intuitive natural-language legal search that connects layman or colloquial factual descriptions with precise legal statutes through dense neural embeddings.</w:t>
      </w:r>
    </w:p>
    <w:p>
      <w:pPr>
        <w:pStyle w:val="ListBullet"/>
        <w:spacing w:line="360" w:lineRule="auto" w:after="80"/>
        <w:jc w:val="both"/>
      </w:pPr>
      <w:r>
        <w:rPr>
          <w:b/>
        </w:rPr>
        <w:t xml:space="preserve">Streamline Court Review Workflows: </w:t>
      </w:r>
      <w:r>
        <w:t>Provide senior court registries with administrative approval queues, automated metadata extraction (Named Entity Recognition), and continuous document integrity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multi-role web platform supporting Court Staff, Senior Registry, Advocates, Legal Scholars, and Public users, each governed by strict Role-Based Access Control (RBAC).</w:t>
      </w:r>
    </w:p>
    <w:p>
      <w:pPr>
        <w:pStyle w:val="ListBullet"/>
        <w:spacing w:line="360" w:lineRule="auto" w:after="80"/>
        <w:jc w:val="both"/>
      </w:pPr>
      <w:r>
        <w:t>A zero-trust document ingestion engine that extracts legal metadata via PyMuPDF and Named Entity Recognition (NER), verifies duplicate prevention via SHA-256 digests, and queues cases for senior approval.</w:t>
      </w:r>
    </w:p>
    <w:p>
      <w:pPr>
        <w:pStyle w:val="ListBullet"/>
        <w:spacing w:line="360" w:lineRule="auto" w:after="80"/>
        <w:jc w:val="both"/>
      </w:pPr>
      <w:r>
        <w:t>An immutable, sequentially linked cryptographic audit ledger that logs all system mutations and view transactions, rendering log modification impossible without invalidating subsequent block hashes.</w:t>
      </w:r>
    </w:p>
    <w:p>
      <w:pPr>
        <w:pStyle w:val="ListBullet"/>
        <w:spacing w:line="360" w:lineRule="auto" w:after="80"/>
        <w:jc w:val="both"/>
      </w:pPr>
      <w:r>
        <w:t>A hybrid precedent search engine combining dense semantic sentence embeddings (InLegalBERT / all-MiniLM-L6-v2) with relational statutory filters, achieving sub-1.5 second retrieval latency.</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Cryptographic Verification Pipeline: </w:t>
      </w:r>
      <w:r>
        <w:t>Design and implement a streaming SHA-256 file hashing module capable of calculating 256-bit cryptographic fingerprints for multi-megabyte PDFs in under 200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preventing unauthorized database alterations.</w:t>
      </w:r>
    </w:p>
    <w:p>
      <w:pPr>
        <w:pStyle w:val="ListBullet"/>
        <w:spacing w:line="360" w:lineRule="auto" w:after="80"/>
        <w:jc w:val="both"/>
      </w:pPr>
      <w:r>
        <w:rPr>
          <w:b/>
        </w:rPr>
        <w:t xml:space="preserve">Domain-Specific Hybrid Search: </w:t>
      </w:r>
      <w:r>
        <w:t>Formulate and calibrate a score fusion algorithm combining 60% semantic cosine similarity with 40% statutory keyword matching ratio for precision legal precedent ranking.</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Multi-Precedent Comparative Engine: </w:t>
      </w:r>
      <w:r>
        <w:t>Develop a responsive React component allowing legal practitioners to align and contrast judgments across courts, bench compositions, fact patterns, and statutory outcomes.</w:t>
      </w:r>
    </w:p>
    <w:p>
      <w:pPr>
        <w:pStyle w:val="ListBullet"/>
        <w:spacing w:line="360" w:lineRule="auto" w:after="80"/>
        <w:jc w:val="both"/>
      </w:pPr>
      <w:r>
        <w:rPr>
          <w:b/>
        </w:rPr>
        <w:t xml:space="preserve">Hardened Security Architecture: </w:t>
      </w:r>
      <w:r>
        <w:t>Enforce OWASP security benchmarks, including HttpOnly SameSite=Lax JWT authentication, Double-Submit CSRF cookies, and granular Role-Based Access Control.</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overturned or modified, and perform automated petition gap checks.</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 without privacy compromises.</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In parallel, with the surge of modern commercial Generative AI assistants, legal practitioners frequently copy draft pleadings into public generative models to obtain precedent recommendations and comparative case points, unwittingly exposing confidential client data while relying on unchecked generative outputs.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or intermediary alters dates, monetary penalties, or operative acquittal/conviction paragraphs, neither the advocate nor the bench has an instant client-side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in Keyword-Based Search: </w:t>
      </w:r>
      <w:r>
        <w:t>Literal keyword engines are incapable of semantic bridging. If an advocate queries 'default bail on grounds of delay in filing charge sheet', but the landmark judgment phrases the ratio as 'indefeasible statutory right to release under Section 167(2)', the query fails to surface the authority.</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judicial contempt and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Absence of Automated Petition Gap Checking: </w:t>
      </w:r>
      <w:r>
        <w:t>Junior advocates have no systematic mechanism to scan draft pleadings before filing to identify overlooked statutory provisions, unaddressed adverse precedents, or mandatory procedural grounds.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designed to resolve each fundamental vulnerability of the existing ecosystem.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The resulting 256-bit hexadecimal digest is committed to the database record. Whenever any user accesses or reviews a document, the platform performs real-time SHA-256 re-hashing directly from disk bytes; if even a single bit has been altered, the viewer displays an immediate quarantine alert. Furthermore, Lexguard introduces a sequentially linked, hash-chained audit ledger wherein every system event incorporates the SHA-256 hash of its predecessor, establishing immutable non-repudiation.</w:t>
      </w:r>
    </w:p>
    <w:p>
      <w:pPr>
        <w:spacing w:line="360" w:lineRule="auto" w:after="120"/>
        <w:jc w:val="both"/>
      </w:pPr>
      <w:r>
        <w:t>For precedent retrieval, Lexguard pioneers a hybrid score fusion engine. Queries are embedded into dense 384-dimensional vector representations using domain-adapted transformer models (InLegalBERT / all-MiniLM-L6-v2), which are fused with structured SQL filters for exact statutory provisions (IPC, CrPC, NI Act). An integrated AI Draft Assistant allows advocates to paste draft petitions and receive real-time, anti-hallucinatory gap analyses, suggesting only verified, indexed judgments with one-click citation insertion.</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Streaming SHA-256 cryptographic byte verification with live status badges.</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(prev_hash + current_data).</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and Boolean matching; high rate of missed cases.</w:t>
            </w:r>
          </w:p>
        </w:tc>
        <w:tc>
          <w:tcPr>
            <w:tcW w:type="dxa" w:w="3312"/>
            <w:tcMar>
              <w:top w:w="100" w:type="dxa"/>
              <w:bottom w:w="100" w:type="dxa"/>
              <w:left w:w="120" w:type="dxa"/>
              <w:right w:w="120" w:type="dxa"/>
            </w:tcMar>
          </w:tcPr>
          <w:p>
            <w:pPr>
              <w:spacing w:line="288" w:lineRule="auto"/>
              <w:jc w:val="both"/>
            </w:pPr>
            <w:r>
              <w:rPr>
                <w:sz w:val="19"/>
              </w:rPr>
              <w:t>Hybrid score fusion: 60% dense semantic embeddings + 40% statutory keyword filters.</w:t>
            </w:r>
          </w:p>
        </w:tc>
      </w:tr>
      <w:tr>
        <w:tc>
          <w:tcPr>
            <w:tcW w:type="dxa" w:w="2880"/>
            <w:tcMar>
              <w:top w:w="100" w:type="dxa"/>
              <w:bottom w:w="100" w:type="dxa"/>
              <w:left w:w="120" w:type="dxa"/>
              <w:right w:w="120" w:type="dxa"/>
            </w:tcMar>
            <w:shd w:fill="F8FAFC"/>
          </w:tcPr>
          <w:p>
            <w:pPr>
              <w:spacing w:line="288" w:lineRule="auto"/>
              <w:jc w:val="left"/>
            </w:pPr>
            <w:r>
              <w:rPr>
                <w:b/>
                <w:sz w:val="19"/>
              </w:rPr>
              <w:t>AI Safety &amp; Hallucination</w:t>
            </w:r>
          </w:p>
        </w:tc>
        <w:tc>
          <w:tcPr>
            <w:tcW w:type="dxa" w:w="3168"/>
            <w:tcMar>
              <w:top w:w="100" w:type="dxa"/>
              <w:bottom w:w="100" w:type="dxa"/>
              <w:left w:w="120" w:type="dxa"/>
              <w:right w:w="120" w:type="dxa"/>
            </w:tcMar>
            <w:shd w:fill="F8FAFC"/>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shd w:fill="F8FAFC"/>
          </w:tcPr>
          <w:p>
            <w:pPr>
              <w:spacing w:line="288" w:lineRule="auto"/>
              <w:jc w:val="both"/>
            </w:pPr>
            <w:r>
              <w:rPr>
                <w:sz w:val="19"/>
              </w:rPr>
              <w:t>Zero-hallucination constraint; citations strictly mapped to verified database records.</w:t>
            </w:r>
          </w:p>
        </w:tc>
      </w:tr>
      <w:tr>
        <w:tc>
          <w:tcPr>
            <w:tcW w:type="dxa" w:w="2880"/>
            <w:tcMar>
              <w:top w:w="100" w:type="dxa"/>
              <w:bottom w:w="100" w:type="dxa"/>
              <w:left w:w="120" w:type="dxa"/>
              <w:right w:w="120" w:type="dxa"/>
            </w:tcMar>
          </w:tcPr>
          <w:p>
            <w:pPr>
              <w:spacing w:line="288" w:lineRule="auto"/>
              <w:jc w:val="left"/>
            </w:pPr>
            <w:r>
              <w:rPr>
                <w:b/>
                <w:sz w:val="19"/>
              </w:rPr>
              <w:t>Multi-Precedent Analysis</w:t>
            </w:r>
          </w:p>
        </w:tc>
        <w:tc>
          <w:tcPr>
            <w:tcW w:type="dxa" w:w="3168"/>
            <w:tcMar>
              <w:top w:w="100" w:type="dxa"/>
              <w:bottom w:w="100" w:type="dxa"/>
              <w:left w:w="120" w:type="dxa"/>
              <w:right w:w="120" w:type="dxa"/>
            </w:tcMar>
          </w:tcPr>
          <w:p>
            <w:pPr>
              <w:spacing w:line="288" w:lineRule="auto"/>
              <w:jc w:val="both"/>
            </w:pPr>
            <w:r>
              <w:rPr>
                <w:sz w:val="19"/>
              </w:rPr>
              <w:t>Manual switching between disconnected PDF windows or physical books.</w:t>
            </w:r>
          </w:p>
        </w:tc>
        <w:tc>
          <w:tcPr>
            <w:tcW w:type="dxa" w:w="3312"/>
            <w:tcMar>
              <w:top w:w="100" w:type="dxa"/>
              <w:bottom w:w="100" w:type="dxa"/>
              <w:left w:w="120" w:type="dxa"/>
              <w:right w:w="120" w:type="dxa"/>
            </w:tcMar>
          </w:tcPr>
          <w:p>
            <w:pPr>
              <w:spacing w:line="288" w:lineRule="auto"/>
              <w:jc w:val="both"/>
            </w:pPr>
            <w:r>
              <w:rPr>
                <w:sz w:val="19"/>
              </w:rPr>
              <w:t>Side-by-side interactive comparator matrix aligning facts, statutes, and ratios.</w:t>
            </w:r>
          </w:p>
        </w:tc>
      </w:tr>
      <w:tr>
        <w:tc>
          <w:tcPr>
            <w:tcW w:type="dxa" w:w="2880"/>
            <w:tcMar>
              <w:top w:w="100" w:type="dxa"/>
              <w:bottom w:w="100" w:type="dxa"/>
              <w:left w:w="120" w:type="dxa"/>
              <w:right w:w="120" w:type="dxa"/>
            </w:tcMar>
            <w:shd w:fill="F8FAFC"/>
          </w:tcPr>
          <w:p>
            <w:pPr>
              <w:spacing w:line="288" w:lineRule="auto"/>
              <w:jc w:val="left"/>
            </w:pPr>
            <w:r>
              <w:rPr>
                <w:b/>
                <w:sz w:val="19"/>
              </w:rPr>
              <w:t>Application Security</w:t>
            </w:r>
          </w:p>
        </w:tc>
        <w:tc>
          <w:tcPr>
            <w:tcW w:type="dxa" w:w="3168"/>
            <w:tcMar>
              <w:top w:w="100" w:type="dxa"/>
              <w:bottom w:w="100" w:type="dxa"/>
              <w:left w:w="120" w:type="dxa"/>
              <w:right w:w="120" w:type="dxa"/>
            </w:tcMar>
            <w:shd w:fill="F8FAFC"/>
          </w:tcPr>
          <w:p>
            <w:pPr>
              <w:spacing w:line="288" w:lineRule="auto"/>
              <w:jc w:val="both"/>
            </w:pPr>
            <w:r>
              <w:rPr>
                <w:sz w:val="19"/>
              </w:rPr>
              <w:t>Basic session cookies, vulnerable to CSRF, XSS, and credential leaks.</w:t>
            </w:r>
          </w:p>
        </w:tc>
        <w:tc>
          <w:tcPr>
            <w:tcW w:type="dxa" w:w="3312"/>
            <w:tcMar>
              <w:top w:w="100" w:type="dxa"/>
              <w:bottom w:w="100" w:type="dxa"/>
              <w:left w:w="120" w:type="dxa"/>
              <w:right w:w="120" w:type="dxa"/>
            </w:tcMar>
            <w:shd w:fill="F8FAFC"/>
          </w:tcPr>
          <w:p>
            <w:pPr>
              <w:spacing w:line="288" w:lineRule="auto"/>
              <w:jc w:val="both"/>
            </w:pPr>
            <w:r>
              <w:rPr>
                <w:sz w:val="19"/>
              </w:rPr>
              <w:t>Strict OWASP headers, Double-Submit CSRF tokens, HttpOnly SameSite=Lax JWT cookies.</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React 18, all of which exhibit mature package ecosystems, rich documentation, and active developer communities. The AI pipeline harnesses locally deployed Sentence-Transformers (`all-MiniLM-L6-v2`) and InLegalBERT, which execute inference with minimal computational footprint on standard CPU or modest GPU architectures without requiring costly external cloud API calls. SQLite and PostgreSQL with `pgvector` provide robust relational and vector indexing capabilities. As modern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Junior staff continue uploading case PDFs through an intuitive form; the platform automatically extracts CNR metadata, generates SHA-256 hashes, and routes files to a senior approval queue. Advocates and legal scholars interact with a streamlined search interface with familiar statutory filters, accompanied by an interactive petition gap analysis panel.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(such as Oracle or Microsoft SQL Server) and expensive proprietary search API subscriptions. The application runs efficiently on existing institutional servers and personal development workstations with minimal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The scope encompasses role-based access management (Court Staff, Advocates, Legal Scholars, Public Users), streaming SHA-256 byte hashing, immutable hash-chained audit logging, pgvector-based dense semantic search, administrative case approval workflows, side-by-side precedent comparison matrices, and an anti-hallucinatory AI petition drafting assistant.</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Ratio Decidendi: </w:t>
      </w:r>
      <w:r>
        <w:t>The underlying legal principle, rationale, or rule of law upon which a court's final binding decision is predicated.</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pStyle w:val="ListBullet"/>
        <w:spacing w:line="360" w:lineRule="auto" w:after="80"/>
        <w:jc w:val="both"/>
      </w:pPr>
      <w:r>
        <w:rPr>
          <w:b/>
        </w:rPr>
        <w:t xml:space="preserve">pgvector: </w:t>
      </w:r>
      <w:r>
        <w:t>An open-source vector similarity search extension for PostgreSQL enabling efficient cosine distance indexing on 384-dimensional dense neural embeddings.</w:t>
      </w:r>
    </w:p>
    <w:p>
      <w:pPr>
        <w:spacing w:before="160" w:after="80"/>
      </w:pPr>
      <w:r>
        <w:rPr>
          <w:b/>
          <w:sz w:val="24"/>
        </w:rPr>
        <w:t>3.1.3 Product Perspective &amp; Functions</w:t>
      </w:r>
    </w:p>
    <w:p>
      <w:pPr>
        <w:spacing w:line="360" w:lineRule="auto" w:after="120"/>
        <w:jc w:val="both"/>
      </w:pPr>
      <w:r>
        <w:t>Lexguard operates as a decoupled three-tier web application consisting of a React client tier, a high-concurrency FastAPI application tier, and a hybrid relational/vector database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staff verification before publication.</w:t>
        <w:br/>
        <w:t>4. Live Cryptographic Verification: On-demand dynamic re-computation of SHA-256 byte digests on file access to prove integrity.</w:t>
        <w:br/>
        <w:t>5. Precedent Score Fusion: Blended ranking combining 60% dense cosine similarity and 40% statutory keyword overlap.</w:t>
        <w:br/>
        <w:t>6. Anti-Hallucinatory Draft Assistant: Real-time petition paragraph scanning that cross-references statutory gaps strictly against verified holdings.</w:t>
        <w:br/>
        <w:t>7.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single-page application built in React 18, Tailwind CSS, and Lucide React icons, optimized for minimum 1280x720 desktop displays.</w:t>
        <w:br/>
        <w:t>• Hardware Interface: x86-64 server or desktop with at least 8 GB RAM and 2.0 GHz multi-core processor.</w:t>
        <w:br/>
        <w:t>• Software Interface: Modern browser (Chromium, Firefox, Safari) supporting modern ES6+ standards and PDF rendering via PDF.js;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200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below.</w:t>
      </w:r>
    </w:p>
    <w:p>
      <w:pPr>
        <w:spacing w:before="200" w:after="80"/>
      </w:pPr>
      <w:r>
        <w:rPr>
          <w:b/>
          <w:sz w:val="24"/>
        </w:rPr>
        <w:t>3.2.1 Use Case Diagram</w:t>
      </w:r>
    </w:p>
    <w:p>
      <w:pPr>
        <w:spacing w:line="360" w:lineRule="auto" w:after="80"/>
        <w:jc w:val="both"/>
      </w:pPr>
      <w:r>
        <w:t>Figure 3.1 illustrates the Use Case model detailing interactions across Court Staff, Advocates, Scholars, Public Users, and the automated Cryptographic Ledger System.</w:t>
      </w:r>
    </w:p>
    <w:p>
      <w:pPr>
        <w:spacing w:before="80" w:after="160" w:line="240" w:lineRule="auto"/>
      </w:pPr>
      <w:r>
        <w:rPr>
          <w:rFonts w:ascii="Courier New" w:hAnsi="Courier New"/>
          <w:sz w:val="17"/>
        </w:rPr>
        <w:t>+-----------------------------------------------------------------------------------------+</w:t>
        <w:br/>
        <w:t>|                                 LEXGUARD PLATFORM BOUNDARY                              |</w:t>
        <w:br/>
        <w:t>|                                                                                         |</w:t>
        <w:br/>
        <w:t>|  [Court Staff] ---&gt; (Upload Case Document) ---&gt; &lt;&lt;include&gt;&gt; ---&gt; (Compute SHA-256 Hash) |</w:t>
        <w:br/>
        <w:t>|  [Court Staff] ---&gt; (Manage Approval Queue)                                             |</w:t>
        <w:br/>
        <w:t>|                                                                                         |</w:t>
        <w:br/>
        <w:t>|  [Advocate]    ---&gt; (Hybrid Precedent Search)                                           |</w:t>
        <w:br/>
        <w:t>|  [Advocate]    ---&gt; (Multi-Case Comparator Matrix)                                      |</w:t>
        <w:br/>
        <w:t>|  [Advocate]    ---&gt; (AI Draft Gap Analysis) ---&gt; &lt;&lt;include&gt;&gt; ---&gt; (Extract Statutes)    |</w:t>
        <w:br/>
        <w:t>|                                                                                         |</w:t>
        <w:br/>
        <w:t>|  [Scholar]     ---&gt; (Read-Only Case Viewer) ---&gt; &lt;&lt;include&gt;&gt; ---&gt; (Verify Integrity)   |</w:t>
        <w:br/>
        <w:t>|  [Scholar]     ---&gt; (Manage Research Binders)                                           |</w:t>
        <w:br/>
        <w:t>|                                                                                         |</w:t>
        <w:br/>
        <w:t>|  [Public]      ---&gt; (Search Public Cause List)                                          |</w:t>
        <w:br/>
        <w:t>|                                                                                         |</w:t>
        <w:br/>
        <w:t>|  &lt;&lt;All Roles&gt;&gt; ---&gt; (Authenticate / Manage Profile)                                     |</w:t>
        <w:br/>
        <w:t>|  &lt;&lt;System&gt;&gt;    ---&gt; (Append to Hash-Chained Audit Ledger)                               |</w:t>
        <w:br/>
        <w:t>+-----------------------------------------------------------------------------------------+</w:t>
        <w:br/>
        <w:t>Figure 3.1: Use Case Diagram for Lexguard Legal Case Research System</w:t>
      </w:r>
    </w:p>
    <w:p>
      <w:pPr>
        <w:spacing w:before="200" w:after="80"/>
      </w:pPr>
      <w:r>
        <w:rPr>
          <w:b/>
          <w:sz w:val="24"/>
        </w:rPr>
        <w:t>3.2.2 Activity Diagram</w:t>
      </w:r>
    </w:p>
    <w:p>
      <w:pPr>
        <w:spacing w:line="360" w:lineRule="auto" w:after="80"/>
        <w:jc w:val="both"/>
      </w:pPr>
      <w:r>
        <w:t>Figure 3.2 depicts the end-to-end Activity flow governing document upload, duplicate hash detection, NER metadata extraction, senior approval, and hash-chained logging.</w:t>
      </w:r>
    </w:p>
    <w:p>
      <w:pPr>
        <w:spacing w:before="80" w:after="160" w:line="240" w:lineRule="auto"/>
      </w:pPr>
      <w:r>
        <w:rPr>
          <w:rFonts w:ascii="Courier New" w:hAnsi="Courier New"/>
          <w:sz w:val="17"/>
        </w:rPr>
        <w:t>[Start] --&gt; (Staff Selects PDF Document) --&gt; (Compute SHA-256 Hash)</w:t>
        <w:br/>
        <w:t xml:space="preserve">            --&gt; &lt;Duplicate Check in DB?&gt;</w:t>
        <w:br/>
        <w:t xml:space="preserve">                 |-- [Yes] --&gt; (Display Duplicate Error Alert) --&gt; [End]</w:t>
        <w:br/>
        <w:t xml:space="preserve">                 |-- [No]  --&gt; (Extract Text &amp; Legal Metadata via PyMuPDF)</w:t>
        <w:br/>
        <w:t xml:space="preserve">                              --&gt; (Generate Dense Vector Embeddings)</w:t>
        <w:br/>
        <w:t xml:space="preserve">                              --&gt; (Place Case in Pending Approval Queue)</w:t>
        <w:br/>
        <w:t xml:space="preserve">                              --&gt; (Senior Staff Reviews Metadata &amp; PDF Preview)</w:t>
        <w:br/>
        <w:t xml:space="preserve">                              --&gt; &lt;Approved?&gt;</w:t>
        <w:br/>
        <w:t xml:space="preserve">                                   |-- [No]  --&gt; (Record Rejection Reason) --&gt; [REJECTED] --&gt; [End]</w:t>
        <w:br/>
        <w:t xml:space="preserve">                                   |-- [Yes] --&gt; (Update Status: Published)</w:t>
        <w:br/>
        <w:t xml:space="preserve">                                                --&gt; (Write Hash-Chained Audit Log)</w:t>
        <w:br/>
        <w:t xml:space="preserve">                                                --&gt; (Publish for Hybrid Search &amp; Verification) --&gt; [End]</w:t>
        <w:br/>
        <w:t>Figure 3.2: Activity Diagram for Document Ingestion and Integrity Verification</w:t>
      </w:r>
    </w:p>
    <w:p>
      <w:pPr>
        <w:spacing w:before="200" w:after="80"/>
      </w:pPr>
      <w:r>
        <w:rPr>
          <w:b/>
          <w:sz w:val="24"/>
        </w:rPr>
        <w:t>3.2.3 State Diagram</w:t>
      </w:r>
    </w:p>
    <w:p>
      <w:pPr>
        <w:spacing w:line="360" w:lineRule="auto" w:after="80"/>
        <w:jc w:val="both"/>
      </w:pPr>
      <w:r>
        <w:t>Figure 3.3 models the document lifecycle states from initial ingestion through approval, publication, and real-time quarantine alerts.</w:t>
      </w:r>
    </w:p>
    <w:p>
      <w:pPr>
        <w:spacing w:before="80" w:after="160" w:line="240" w:lineRule="auto"/>
      </w:pPr>
      <w:r>
        <w:rPr>
          <w:rFonts w:ascii="Courier New" w:hAnsi="Courier New"/>
          <w:sz w:val="17"/>
        </w:rPr>
        <w:t>(*) --&gt; [DRAFT / UPLOADED]</w:t>
        <w:br/>
        <w:t xml:space="preserve">         |</w:t>
        <w:br/>
        <w:t xml:space="preserve">         v (Metadata Extracted &amp; SHA-256 Digest Computed)</w:t>
        <w:br/>
        <w:t xml:space="preserve">       [PENDING_APPROVAL]</w:t>
        <w:br/>
        <w:t xml:space="preserve">         |</w:t>
        <w:br/>
        <w:t xml:space="preserve">         +---&gt; (Senior Staff Rejects)  ---&gt; [REJECTED] --&gt; (*)</w:t>
        <w:br/>
        <w:t xml:space="preserve">         |</w:t>
        <w:br/>
        <w:t xml:space="preserve">         +---&gt; (Senior Staff Approves) ---&gt; [PUBLISHED]</w:t>
        <w:br/>
        <w:t xml:space="preserve">                                               |</w:t>
        <w:br/>
        <w:t xml:space="preserve">                                               +---&gt; (Integrity Check Pass) --&gt; [VERIFIED_ACTIVE]</w:t>
        <w:br/>
        <w:t xml:space="preserve">                                               |</w:t>
        <w:br/>
        <w:t xml:space="preserve">                                               +---&gt; (Byte Tamper Detected) --&gt; [QUARANTINED_ALERT]</w:t>
        <w:br/>
        <w:t>Figure 3.3: State Diagram for Case Document Status Lifecycle</w:t>
      </w:r>
    </w:p>
    <w:p>
      <w:pPr>
        <w:spacing w:before="200" w:after="80"/>
      </w:pPr>
      <w:r>
        <w:rPr>
          <w:b/>
          <w:sz w:val="24"/>
        </w:rPr>
        <w:t>3.2.4 Sequence Diagram</w:t>
      </w:r>
    </w:p>
    <w:p>
      <w:pPr>
        <w:spacing w:line="360" w:lineRule="auto" w:after="80"/>
        <w:jc w:val="both"/>
      </w:pPr>
      <w:r>
        <w:t>Figure 3.4 captures the sequential message exchanges between the Client, FastAPI Gateway, AI Service, and Database during search and real-time verification.</w:t>
      </w:r>
    </w:p>
    <w:p>
      <w:pPr>
        <w:spacing w:before="80" w:after="160" w:line="240" w:lineRule="auto"/>
      </w:pPr>
      <w:r>
        <w:rPr>
          <w:rFonts w:ascii="Courier New" w:hAnsi="Courier New"/>
          <w:sz w:val="17"/>
        </w:rPr>
        <w:t>User           React UI              FastAPI Backend            AI Microservice       Database / MinIO</w:t>
        <w:br/>
        <w:t xml:space="preserve"> |                |                         |                          |                     |</w:t>
        <w:br/>
        <w:t xml:space="preserve"> |-- Types Query-&gt;|                         |                          |                     |</w:t>
        <w:br/>
        <w:t xml:space="preserve"> |   &amp; Clicks Go  |-- POST /api/v1/search -&gt;|                          |                     |</w:t>
        <w:br/>
        <w:t xml:space="preserve"> |                |                         |-- Embed Query (POST) ---&gt;|                     |</w:t>
        <w:br/>
        <w:t xml:space="preserve"> |                |                         |                          |-- Compute Vector --|</w:t>
        <w:br/>
        <w:t xml:space="preserve"> |                |                         |&lt;-- 384-dim Vector -------|                     |</w:t>
        <w:br/>
        <w:t xml:space="preserve"> |                |                         |-- Cosine Similarity + Keyword Filter ---------&gt;|</w:t>
        <w:br/>
        <w:t xml:space="preserve"> |                |                         |&lt;-- Ranked Case ID List &amp; Metadata -------------|</w:t>
        <w:br/>
        <w:t xml:space="preserve"> |                |&lt;-- JSON Results List ---|                                                |</w:t>
        <w:br/>
        <w:t xml:space="preserve"> |&lt;- Displays Card|                         |                                                |</w:t>
        <w:br/>
        <w:t xml:space="preserve"> |                |                         |                                                |</w:t>
        <w:br/>
        <w:t xml:space="preserve"> |-- Selects Case&gt;|                         |                                                |</w:t>
        <w:br/>
        <w:t xml:space="preserve"> |                |-- GET /cases/{id}/view-&gt;|                                                |</w:t>
        <w:br/>
        <w:t xml:space="preserve"> |                |                         |-- Read Stored File Bytes ---------------------&gt;|</w:t>
        <w:br/>
        <w:t xml:space="preserve"> |                |                         |&lt;-- Return Binary Stream -----------------------|</w:t>
        <w:br/>
        <w:t xml:space="preserve"> |                |                         |-- Recompute SHA-256 &amp; Compare with DB Hash ----|</w:t>
        <w:br/>
        <w:t xml:space="preserve"> |                |                         |-- Write Audit Log (VIEW) ---------------------&gt;|</w:t>
        <w:br/>
        <w:t xml:space="preserve"> |                |&lt;-- Document + Hash Valid|                                                |</w:t>
        <w:br/>
        <w:t xml:space="preserve"> |&lt;- Shows Viewer |    Status (Green Badge) |                                                |</w:t>
        <w:br/>
        <w:t>Figure 3.4: Sequence Diagram for Precedent Search and Verification Flow</w:t>
      </w:r>
    </w:p>
    <w:p>
      <w:pPr>
        <w:spacing w:before="200" w:after="80"/>
      </w:pPr>
      <w:r>
        <w:rPr>
          <w:b/>
          <w:sz w:val="24"/>
        </w:rPr>
        <w:t>3.2.5 Entity Relationship (ER) Diagram</w:t>
      </w:r>
    </w:p>
    <w:p>
      <w:pPr>
        <w:spacing w:line="360" w:lineRule="auto" w:after="80"/>
        <w:jc w:val="both"/>
      </w:pPr>
      <w:r>
        <w:t>Figure 3.5 articulates the relational database schema, demonstrating key constraints and foreign-key mappings between users, cases, audit logs, and approval queues.</w:t>
      </w:r>
    </w:p>
    <w:p>
      <w:pPr>
        <w:spacing w:before="80" w:after="160" w:line="240" w:lineRule="auto"/>
      </w:pPr>
      <w:r>
        <w:rPr>
          <w:rFonts w:ascii="Courier New" w:hAnsi="Courier New"/>
          <w:sz w:val="17"/>
        </w:rPr>
        <w:t xml:space="preserve"> +-------------------+       1:N       +---------------------+</w:t>
        <w:br/>
        <w:t xml:space="preserve"> |       USERS       |----------------&lt;|      AUDIT_LOGS     |</w:t>
        <w:br/>
        <w:t xml:space="preserve"> |-------------------|                 |---------------------|</w:t>
        <w:br/>
        <w:t xml:space="preserve"> | id (PK)           |                 | id (PK)             |</w:t>
        <w:br/>
        <w:t xml:space="preserve"> | email             |       1:N       | user_id (FK)        |</w:t>
        <w:br/>
        <w:t xml:space="preserve"> | password_hash     |--------+        | case_id (FK)        |</w:t>
        <w:br/>
        <w:t xml:space="preserve"> | role              |        |        | action              |</w:t>
        <w:br/>
        <w:t xml:space="preserve"> | credential_id     |        |        | previous_log_hash   |</w:t>
        <w:br/>
        <w:t xml:space="preserve"> +-------------------+        |        | current_hash        |</w:t>
        <w:br/>
        <w:t xml:space="preserve">           | 1:N              |        +---------------------+</w:t>
        <w:br/>
        <w:t xml:space="preserve">           |                  |           </w:t>
        <w:br/>
        <w:t xml:space="preserve">           v                  |        +---------------------+</w:t>
        <w:br/>
        <w:t xml:space="preserve"> +-------------------+        +-------&lt;|   APPROVAL_QUEUE    |</w:t>
        <w:br/>
        <w:t xml:space="preserve"> |     BOOKMARKS     |                 |---------------------|</w:t>
        <w:br/>
        <w:t xml:space="preserve"> |-------------------|                 | id (PK)             |</w:t>
        <w:br/>
        <w:t xml:space="preserve"> | id (PK)           |                 | case_id (FK)        |</w:t>
        <w:br/>
        <w:t xml:space="preserve"> | user_id (FK)      |                 | submitted_by (FK)   |</w:t>
        <w:br/>
        <w:t xml:space="preserve"> | case_id (FK)      |                 | reviewed_by (FK)    |</w:t>
        <w:br/>
        <w:t xml:space="preserve"> | folder_name       |                 | status              |</w:t>
        <w:br/>
        <w:t xml:space="preserve"> +-------------------+                 +---------------------+</w:t>
        <w:br/>
        <w:t xml:space="preserve">           |                                      |</w:t>
        <w:br/>
        <w:t xml:space="preserve">           | N:1                                  |</w:t>
        <w:br/>
        <w:t xml:space="preserve">           v                                      v</w:t>
        <w:br/>
        <w:t xml:space="preserve"> +-----------------------------------------------------------+</w:t>
        <w:br/>
        <w:t xml:space="preserve"> |                           CASES                           |</w:t>
        <w:br/>
        <w:t xml:space="preserve"> |-----------------------------------------------------------|</w:t>
        <w:br/>
        <w:t xml:space="preserve"> | id (PK), cnr_number, case_no, title, court, year, judge   |</w:t>
        <w:br/>
        <w:t xml:space="preserve"> | bench_type, parties, act_tags, section_tags, ratio        |</w:t>
        <w:br/>
        <w:t xml:space="preserve"> | file_path, file_hash (SHA-256), status, uploaded_by (FK)  |</w:t>
        <w:br/>
        <w:t xml:space="preserve"> +-----------------------------------------------------------+</w:t>
        <w:br/>
        <w:t xml:space="preserve">           | 1:N</w:t>
        <w:br/>
        <w:t xml:space="preserve">           v</w:t>
        <w:br/>
        <w:t xml:space="preserve"> +-------------------------+</w:t>
        <w:br/>
        <w:t xml:space="preserve"> |    DOCUMENT_VERSIONS    |</w:t>
        <w:br/>
        <w:t xml:space="preserve"> |-------------------------|</w:t>
        <w:br/>
        <w:t xml:space="preserve"> | id (PK), case_id (FK)   |</w:t>
        <w:br/>
        <w:t xml:space="preserve"> | version_no, file_hash   |</w:t>
        <w:br/>
        <w:t xml:space="preserve"> +-------------------------+</w:t>
        <w:br/>
        <w:t>Figure 3.5: Entity Relationship (ER) Diagram for Lexguard Database</w:t>
      </w:r>
    </w:p>
    <w:p>
      <w:pPr>
        <w:spacing w:before="200" w:after="80"/>
      </w:pPr>
      <w:r>
        <w:rPr>
          <w:b/>
          <w:sz w:val="24"/>
        </w:rPr>
        <w:t>3.2.6 Data Flow Diagram (DFD)</w:t>
      </w:r>
    </w:p>
    <w:p>
      <w:pPr>
        <w:spacing w:line="360" w:lineRule="auto" w:after="80"/>
        <w:jc w:val="both"/>
      </w:pPr>
      <w:r>
        <w:t>Figure 3.6 presents the Level 0 Context Diagram and Level 1 Functional Decomposition illustrating secure data boundaries.</w:t>
      </w:r>
    </w:p>
    <w:p>
      <w:pPr>
        <w:spacing w:before="80" w:after="160" w:line="240" w:lineRule="auto"/>
      </w:pPr>
      <w:r>
        <w:rPr>
          <w:rFonts w:ascii="Courier New" w:hAnsi="Courier New"/>
          <w:sz w:val="17"/>
        </w:rPr>
        <w:t>Level 0 (Context Level):</w:t>
        <w:br/>
        <w:t>[Court Staff] ---&gt; (Case PDF + Metadata) ---------&gt; [                 ] ---&gt; (Verified Case Views) ----&gt; [Advocate]</w:t>
        <w:br/>
        <w:t>[Court Staff] &lt;--- (Audit Trail Status) &lt;----------- [    LEXGUARD     ] &lt;--- (Draft Petition) &lt;--------- [Advocate]</w:t>
        <w:br/>
        <w:t>[Public User] ---&gt; (Search Request) ---------------&gt; [ SYSTEM PLATFORM ] ---&gt; (Gap Analysis Suggestions) &gt; [Advocate]</w:t>
        <w:br/>
        <w:t>[Public User] &lt;--- (Redacted Case Summary) &lt;------- [                 ]</w:t>
        <w:br/>
        <w:br/>
        <w:t>Level 1 (Decomposition):</w:t>
        <w:br/>
        <w:t xml:space="preserve"> 1.0 Authentication: User Credentials --&gt; Validate against Users DB --&gt; Return JWT Cookie + CSRF</w:t>
        <w:br/>
        <w:t xml:space="preserve"> 2.0 Ingestion &amp; Hashing: Upload PDF --&gt; Compute SHA-256 --&gt; Extract NER --&gt; Insert Cases DB (Pending)</w:t>
        <w:br/>
        <w:t xml:space="preserve"> 3.0 Administrative Review: Queue --&gt; Senior Staff Approval --&gt; Update Status (Published) --&gt; Audit Log</w:t>
        <w:br/>
        <w:t xml:space="preserve"> 4.0 Precedent Search: Query --&gt; Embeddings + SQL Keyword Filter --&gt; Rank Scores --&gt; Return Cases</w:t>
        <w:br/>
        <w:t xml:space="preserve"> 5.0 Verification &amp; Viewer: Request View --&gt; Recompute Hash from File --&gt; Compare with DB --&gt; Serve Badge</w:t>
        <w:br/>
        <w:t xml:space="preserve"> 6.0 Draft Assistant: Petition Text --&gt; NER Extraction --&gt; Cross-Match Precedents --&gt; Return Missing Grounds</w:t>
        <w:br/>
        <w:t>Figure 3.6: Data Flow Diagram (Level 0 and Level 1) for Lexguard</w:t>
      </w:r>
    </w:p>
    <w:p>
      <w:pPr>
        <w:spacing w:before="200" w:after="80"/>
      </w:pPr>
      <w:r>
        <w:rPr>
          <w:b/>
          <w:sz w:val="24"/>
        </w:rPr>
        <w:t>3.2.7 System Architecture Diagram</w:t>
      </w:r>
    </w:p>
    <w:p>
      <w:pPr>
        <w:spacing w:line="360" w:lineRule="auto" w:after="80"/>
        <w:jc w:val="both"/>
      </w:pPr>
      <w:r>
        <w:t>Figure 3.7 depicts the layered, decoupled architecture isolating client presentation, FastAPI gateway security, AI inference microservice, and relational persistence.</w:t>
      </w:r>
    </w:p>
    <w:p>
      <w:pPr>
        <w:spacing w:before="80" w:after="160" w:line="240" w:lineRule="auto"/>
      </w:pPr>
      <w:r>
        <w:rPr>
          <w:rFonts w:ascii="Courier New" w:hAnsi="Courier New"/>
          <w:sz w:val="17"/>
        </w:rPr>
        <w:t>+-----------------------------------------------------------------------------------------+</w:t>
        <w:br/>
        <w:t>|                        CLIENT LAYER (React 18 + Tailwind CSS)                           |</w:t>
        <w:br/>
        <w:t>|    [Landing Page]  [Case Viewer]  [Precedent Comparator]  [Draft Assistant]  [Admin UI] |</w:t>
        <w:br/>
        <w:t>+-----------------------------------------------------------------------------------------+</w:t>
        <w:br/>
        <w:t xml:space="preserve">                                      | HTTPS (HttpOnly Cookie + Double Submit CSRF)</w:t>
        <w:br/>
        <w:t xml:space="preserve">                                      v</w:t>
        <w:br/>
        <w:t>+-----------------------------------------------------------------------------------------+</w:t>
        <w:br/>
        <w:t>|                         FASTAPI CORE APPLICATION LAYER (:8000)                          |</w:t>
        <w:br/>
        <w:t>|  Security Middleware: OWASP Headers | CSRF Validation | RBAC Dependency Injection       |</w:t>
        <w:br/>
        <w:t>|  Routers: /auth | /cases | /search | /comparison | /draft | /bookmarks | /admin         |</w:t>
        <w:br/>
        <w:t>|  Core Services: AIApiService (Circuit Breaker) | AuditService (Hash Chainer)            |</w:t>
        <w:br/>
        <w:t>+-----------------------------------------------------------------------------------------+</w:t>
        <w:br/>
        <w:t xml:space="preserve">               |                                               |</w:t>
        <w:br/>
        <w:t xml:space="preserve">               | Inter-Service HTTP (:8001)                   | Database Drivers / File IO</w:t>
        <w:br/>
        <w:t xml:space="preserve">               v                                               v</w:t>
        <w:br/>
        <w:t>+---------------------------------------------+ +-----------------------------------------+</w:t>
        <w:br/>
        <w:t>|          AI MICROSERVICE LAYER              | |            PERSISTENCE LAYER            |</w:t>
        <w:br/>
        <w:t>|  - InLegalBERT Legal Entity Extractor       | |  - SQLite / PostgreSQL with pgvector    |</w:t>
        <w:br/>
        <w:t>|  - Sentence-Transformers Embeddings (384-d) | |  - File System / MinIO Storage          |</w:t>
        <w:br/>
        <w:t>|  - Ratio Decidendi Extraction Engine        | |  - Hash-Chained Audit Log Tables        |</w:t>
        <w:br/>
        <w:t>|  - Anti-Hallucination Gap Analyzer          | |  - Landmark Corpus (270+ Cases)         |</w:t>
        <w:br/>
        <w:t>+---------------------------------------------+ +-----------------------------------------+</w:t>
        <w:br/>
        <w:t>Figure 3.7: System Architecture Diagram of Decoupled AI and Backend Services</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(React 18): Manages state via React Context, renders virtualized lists for smooth document navigation, and incorporates PDF.js for secure canvas-based document rendering without external plugin vulnerabilities.</w:t>
        <w:br/>
        <w:t>2. Gateway &amp; Security Middleware Tier: Implements OWASP security headers, double-submit CSRF enforcement, and dependency injection guards for role authentication.</w:t>
        <w:br/>
        <w:t>3. Cryptographic &amp; Audit Tier: Orchestrates 64-KB chunked SHA-256 byte hashing and builds the mathematically verified sequential hash-chained ledger.</w:t>
        <w:br/>
        <w:t>4. NLP &amp; Vector Search Tier: Manages domain-adapted Transformer embeddings (all-MiniLM-L6-v2 and InLegalBERT) and executes the balanced score fusion formula.</w:t>
        <w:br/>
        <w:t>5. Storage &amp; Persistence Tier: Combines relational SQLite/PostgreSQL with pgvector indexing and isolated local/cloud file storage.</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br/>
        <w:t>• Senior Registry Approval Dashboard: Split-screen interface presenting extracted metadata beside an embedded PDF viewer with one-click Approve/Reject action triggers.</w:t>
        <w:br/>
        <w:t>• Live Cryptographic Integrity Badge: Prominently integrated into the Case Viewer header, rendering a vibrant green verified badge upon hash match and an alarming red quarantine banner upon byte mismatch.</w:t>
        <w:br/>
        <w:t>• Precedent Comparison Matrix: An interactive responsive multi-column layout allowing legal researchers to dynamically select up to 4 judgments and review side-by-side legal issues, statutory provisions, and ratio decidendi.</w:t>
        <w:br/>
        <w:t>• AI Draft Assistant Workspace: A dual-pane drafting studio providing instant paragraph gap recommendations, missing ground flags, and one-click verified citation insertion.</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or out-of-memory errors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making tampering mathematically undeniable.</w:t>
      </w:r>
    </w:p>
    <w:p>
      <w:pPr>
        <w:spacing w:before="160" w:after="80"/>
      </w:pPr>
      <w:r>
        <w:rPr>
          <w:b/>
          <w:sz w:val="24"/>
        </w:rPr>
        <w:t>3.6.3 Hybrid Search Score Fusion Formulation</w:t>
      </w:r>
    </w:p>
    <w:p>
      <w:pPr>
        <w:spacing w:line="312" w:lineRule="auto" w:after="120"/>
        <w:jc w:val="both"/>
      </w:pPr>
      <w:r>
        <w:t>To rank case precedents, Lexguard combines dense semantic vector similarity with statutory section matching:</w:t>
        <w:br/>
        <w:br/>
        <w:t>Score_final = (w_sem * CosineSim(V_query, V_case)) + (w_stat * MatchRatio_stat)</w:t>
        <w:br/>
        <w:br/>
        <w:t>Where:</w:t>
        <w:br/>
        <w:t>• w_sem = 0.60 (Semantic weight)</w:t>
        <w:br/>
        <w:t>• w_stat = 0.40 (Statutory weight)</w:t>
        <w:br/>
        <w:t>• CosineSim(A, B) = (A · B) / (||A|| * ||B||)</w:t>
        <w:br/>
        <w:t>• MatchRatio_stat = |S_query ∩ S_case| / max(1, |S_query|)</w:t>
        <w:br/>
        <w:br/>
        <w:t>This ensures cases matching both conceptual legal context and exact statutory sections receive the highest priority.</w:t>
      </w:r>
    </w:p>
    <w:p>
      <w:r>
        <w:br w:type="page"/>
      </w:r>
    </w:p>
    <w:p>
      <w:pPr>
        <w:spacing w:before="240" w:after="80"/>
        <w:jc w:val="center"/>
      </w:pPr>
      <w:r>
        <w:rPr>
          <w:b/>
          <w:sz w:val="32"/>
        </w:rPr>
        <w:t>CHAPTER 4</w:t>
        <w:br/>
        <w:t>SYSTEM IMPLEMENTATION</w:t>
      </w:r>
    </w:p>
    <w:p>
      <w:pPr>
        <w:spacing w:before="280" w:after="80"/>
      </w:pPr>
      <w:r>
        <w:rPr>
          <w:b/>
          <w:sz w:val="26"/>
        </w:rPr>
        <w:t>4.1 Authentication &amp; RBAC Implementation</w:t>
      </w:r>
    </w:p>
    <w:p>
      <w:pPr>
        <w:spacing w:line="360" w:lineRule="auto" w:after="120"/>
        <w:jc w:val="both"/>
      </w:pPr>
      <w:r>
        <w:t>User authentication and authorization within Lexguard are constructed strictly under OWASP ASVS (Application Security Verification Standard) guidelines. User passwords are encrypted using the BCrypt key derivation algorithm with an adaptive cost work factor of 12, mitigating GPU-accelerated brute-force attacks. Upon successful verification of email and password, the FastAPI backend issues a cryptographically signed JSON Web Token (JWT) using the HMAC-SHA256 algorithm.</w:t>
      </w:r>
    </w:p>
    <w:p>
      <w:pPr>
        <w:spacing w:line="360" w:lineRule="auto" w:after="120"/>
        <w:jc w:val="both"/>
      </w:pPr>
      <w:r>
        <w:t>To eliminate client-side token theft via Cross-Site Scripting (XSS), the session token is never exposed to browser localStorage. Instead, it is delivered through an HttpOnly, SameSite=Lax cookie named 'lexguard_session'. All state-modifying requests (POST, PUT, DELETE) enforce a Double-Submit CSRF verification middleware where a secure random cookie ('lexguard_csrf_token') must match the value provided in the incoming 'X-CSRF-Token' HTTP header.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the incoming byte stream is simultaneously written to an isolated staging directory and passed through a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The document is saved with status 'pending_approval' awaiting senior registry verification.</w:t>
      </w:r>
    </w:p>
    <w:p>
      <w:pPr>
        <w:spacing w:before="280" w:after="80"/>
      </w:pPr>
      <w:r>
        <w:rPr>
          <w:b/>
          <w:sz w:val="26"/>
        </w:rPr>
        <w:t>4.3 Precedent Search &amp; Score Fusion Implementation</w:t>
      </w:r>
    </w:p>
    <w:p>
      <w:pPr>
        <w:spacing w:line="360" w:lineRule="auto" w:after="120"/>
        <w:jc w:val="both"/>
      </w:pPr>
      <w:r>
        <w:t>The precedent retrieval engine in Lexguard resolves the vocabulary mismatch problem by executing hybrid retrieval. When an advocate inputs a natural-language search query (e.g., 'anticipatory bail in economic offences and forgery'):</w:t>
        <w:br/>
        <w:t>1. The query text is dispatched to the decoupled AI microservice, which computes a 384-dimensional dense semantic vector representation using Sentence-Transformers / InLegalBERT.</w:t>
        <w:br/>
        <w:t>2. The FastAPI backend queries the database using pgvector's cosine distance operator (&lt;=&gt;), retrieving top candidate cases along with statutory filters (e.g., Court, Act, Year range).</w:t>
        <w:br/>
        <w:t>3. The score fusion algorithm blends the normalized cosine similarity score with statutory section overlap according to the 60:40 formula:</w:t>
        <w:br/>
        <w:t xml:space="preserve">   Score = (0.60 * CosineSim) + (0.40 * SectionMatchRatio)</w:t>
        <w:br/>
        <w:t>4. Cases are ranked and returned as JSON payload containing matched section highlights, ratio decidendi, and verification status.</w:t>
      </w:r>
    </w:p>
    <w:p>
      <w:pPr>
        <w:spacing w:before="280" w:after="80"/>
      </w:pPr>
      <w:r>
        <w:rPr>
          <w:b/>
          <w:sz w:val="26"/>
        </w:rPr>
        <w:t>4.4 Case Review &amp; Approval Queue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Registry Staff access the administrative dashboard at '/admin/queue', which renders a dual-pane verification view: the original PDF rendered on the left and the automatically extracted metadata fields on the right.</w:t>
        <w:br/>
        <w:br/>
        <w:t>Senior staff can edit metadata discrepancies, append missing statutory acts, or reject erroneous files with logged remarks. Upon clicking 'Approve', an atomic database transaction updates the case status to 'published', appends an immutable block to the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dynamic document verification. When an advocate or scholar opens a judgment at '/cases/{id}/view':</w:t>
        <w:br/>
        <w:t>1. The backend reads the stored physical PDF binary stream from disk storage.</w:t>
        <w:br/>
        <w:t>2. The SHA-256 byte digest is dynamically computed in real-time on the server.</w:t>
        <w:br/>
        <w:t>3. The computed hash is compared against the authoritative 'file_hash' stored during administrative approval.</w:t>
        <w:br/>
        <w:t>4. If identical, the document is served with an HTTP 200 response and verified: true, causing the React frontend to display a green cryptographic badge.</w:t>
        <w:br/>
        <w:t>5. If a single byte has been manipulated on disk, the system halts PDF serving, returns HTTP 422 with quarantined: true, records an alert in the audit ledger, and renders a red tamper alert banner on the client.</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Assistant &amp; Precedent Comparator Implementation</w:t>
      </w:r>
    </w:p>
    <w:p>
      <w:pPr>
        <w:spacing w:line="360" w:lineRule="auto" w:after="120"/>
        <w:jc w:val="both"/>
      </w:pPr>
      <w:r>
        <w:t>The AI Draft Assistant operates as a domain-bounded legal co-pilot. When an advocate drafts a petition, the system decomposes text into discrete legal grounds, extracts invoked statutory sections (e.g., Sec 439 CrPC), and cross-matches them against the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 In parallel, the Precedent Comparator renders up to four selected cases in an interactive side-by-side grid, aligning bench strength, legal issues, statutes, and outcomes for rigorous comparative analysis.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