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responsibilities within judicial administration.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generic artificial intelligence tools regularly produce hallucinated case names, fabricated citations, and erroneous statutory interpretations that introduce severe professional liabilities before courts of law. To address these systemic challenges, this work presents Lexguard, an enterprise-grade Legal Case Research and Cryptographic Verification Platform tailored for High Court and judicial workflows.</w:t>
      </w:r>
    </w:p>
    <w:p>
      <w:pPr>
        <w:spacing w:line="360" w:lineRule="auto" w:after="160"/>
        <w:jc w:val="both"/>
      </w:pPr>
      <w:r>
        <w:t>Lexguard establishes a zero-trust, role-based judicial repository that tightly couples cryptographic document integrity verification with domain-specific legal intelligence. The security core implements dual-layer SHA-256 byte hashing—combining client-side zero-byte calculations via the browser Web Crypto API with server-side streaming verification—and an immutable, hash-chained audit ledger with 989 recorded blocks. Every operational event, from judgment document ingestion to senior registrar metadata approval and petition analysis, is sequentially committed into a cryptographic ledger wherein each block embeds the SHA-256 digest of its predecessor, establishing non-repudiable and tamper-evident traceability.</w:t>
      </w:r>
    </w:p>
    <w:p>
      <w:pPr>
        <w:spacing w:line="360" w:lineRule="auto" w:after="160"/>
        <w:jc w:val="both"/>
      </w:pPr>
      <w:r>
        <w:t>Lexguard combines semantic embeddings from InLegalBERT with PostgreSQL full-text search using Reciprocal Rank Fusion across 208 precedent judgments. It maps legacy statutes, including the IPC, Cr.P.C., and Evidence Act, to the BNS and BNSS 2023. Its AI Judgment Draft Studio identifies missing statutory grounds and overlooked adverse precedents without hallucinations. Built with FastAPI and a lightweight HTML5 frontend, Lexguard provides a fast, reliable, and verifiable legal research platform.</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Chapter</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browser Web Crypto API validation, and an immutable 989-block hash-chained audit ledger.</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Ch 1, 2, 3, 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InLegalBERT semantic vector embeddings, PostgreSQL 17 Reciprocal Rank Fusion, and statutory concordance mapping to BNS 2023.</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Ch 1, 3, 4</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 across courtrooms.</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Ch 1, 2</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208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Ch 1, 3</w:t>
            </w:r>
          </w:p>
        </w:tc>
      </w:tr>
    </w:tbl>
    <w:p>
      <w:r>
        <w:br w:type="page"/>
      </w:r>
    </w:p>
    <w:p>
      <w:pPr>
        <w:spacing w:after="360"/>
        <w:jc w:val="center"/>
      </w:pPr>
      <w:r>
        <w:rPr>
          <w:b/>
          <w:sz w:val="28"/>
        </w:rPr>
        <w:t>TABLE OF CONTENTS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CHAPTER NO.</w:t>
            </w:r>
          </w:p>
        </w:tc>
        <w:tc>
          <w:tcPr>
            <w:tcW w:type="dxa" w:w="3000"/>
            <w:tcMar>
              <w:top w:w="100" w:type="dxa"/>
              <w:bottom w:w="100" w:type="dxa"/>
              <w:left w:w="100" w:type="dxa"/>
              <w:right w:w="100" w:type="dxa"/>
            </w:tcMar>
            <w:shd w:fill="E0E7FF"/>
          </w:tcPr>
          <w:p>
            <w:pPr>
              <w:jc w:val="center"/>
            </w:pPr>
            <w:r>
              <w:rPr>
                <w:b/>
                <w:sz w:val="21"/>
              </w:rPr>
              <w:t>TITLE</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ABSTRACT</w:t>
            </w:r>
          </w:p>
        </w:tc>
        <w:tc>
          <w:tcPr>
            <w:tcW w:type="dxa" w:w="1152"/>
            <w:tcMar>
              <w:top w:w="60" w:type="dxa"/>
              <w:bottom w:w="60" w:type="dxa"/>
              <w:left w:w="100" w:type="dxa"/>
              <w:right w:w="100" w:type="dxa"/>
            </w:tcMar>
          </w:tcPr>
          <w:p>
            <w:pPr>
              <w:spacing w:line="276" w:lineRule="auto"/>
              <w:jc w:val="center"/>
            </w:pPr>
            <w:r>
              <w:rPr>
                <w:b/>
                <w:sz w:val="19"/>
              </w:rPr>
              <w:t>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ACKNOWLEDGEMENT</w:t>
            </w:r>
          </w:p>
        </w:tc>
        <w:tc>
          <w:tcPr>
            <w:tcW w:type="dxa" w:w="1152"/>
            <w:tcMar>
              <w:top w:w="60" w:type="dxa"/>
              <w:bottom w:w="60" w:type="dxa"/>
              <w:left w:w="100" w:type="dxa"/>
              <w:right w:w="100" w:type="dxa"/>
            </w:tcMar>
          </w:tcPr>
          <w:p>
            <w:pPr>
              <w:spacing w:line="276" w:lineRule="auto"/>
              <w:jc w:val="center"/>
            </w:pPr>
            <w:r>
              <w:rPr>
                <w:sz w:val="19"/>
              </w:rPr>
              <w:t>iii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SDGs ALIGNMENT</w:t>
            </w:r>
          </w:p>
        </w:tc>
        <w:tc>
          <w:tcPr>
            <w:tcW w:type="dxa" w:w="1152"/>
            <w:tcMar>
              <w:top w:w="60" w:type="dxa"/>
              <w:bottom w:w="60" w:type="dxa"/>
              <w:left w:w="100" w:type="dxa"/>
              <w:right w:w="100" w:type="dxa"/>
            </w:tcMar>
          </w:tcPr>
          <w:p>
            <w:pPr>
              <w:spacing w:line="276" w:lineRule="auto"/>
              <w:jc w:val="center"/>
            </w:pPr>
            <w:r>
              <w:rPr>
                <w:sz w:val="19"/>
              </w:rPr>
              <w:t>iv</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TABLES</w:t>
            </w:r>
          </w:p>
        </w:tc>
        <w:tc>
          <w:tcPr>
            <w:tcW w:type="dxa" w:w="1152"/>
            <w:tcMar>
              <w:top w:w="60" w:type="dxa"/>
              <w:bottom w:w="60" w:type="dxa"/>
              <w:left w:w="100" w:type="dxa"/>
              <w:right w:w="100" w:type="dxa"/>
            </w:tcMar>
          </w:tcPr>
          <w:p>
            <w:pPr>
              <w:spacing w:line="276" w:lineRule="auto"/>
              <w:jc w:val="center"/>
            </w:pPr>
            <w:r>
              <w:rPr>
                <w:sz w:val="19"/>
              </w:rPr>
              <w:t>vi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FIGURES</w:t>
            </w:r>
          </w:p>
        </w:tc>
        <w:tc>
          <w:tcPr>
            <w:tcW w:type="dxa" w:w="1152"/>
            <w:tcMar>
              <w:top w:w="60" w:type="dxa"/>
              <w:bottom w:w="60" w:type="dxa"/>
              <w:left w:w="100" w:type="dxa"/>
              <w:right w:w="100" w:type="dxa"/>
            </w:tcMar>
          </w:tcPr>
          <w:p>
            <w:pPr>
              <w:spacing w:line="276" w:lineRule="auto"/>
              <w:jc w:val="center"/>
            </w:pPr>
            <w:r>
              <w:rPr>
                <w:sz w:val="19"/>
              </w:rPr>
              <w:t>vii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ABBREVIATIONS</w:t>
            </w:r>
          </w:p>
        </w:tc>
        <w:tc>
          <w:tcPr>
            <w:tcW w:type="dxa" w:w="1152"/>
            <w:tcMar>
              <w:top w:w="60" w:type="dxa"/>
              <w:bottom w:w="60" w:type="dxa"/>
              <w:left w:w="100" w:type="dxa"/>
              <w:right w:w="100" w:type="dxa"/>
            </w:tcMar>
          </w:tcPr>
          <w:p>
            <w:pPr>
              <w:spacing w:line="276" w:lineRule="auto"/>
              <w:jc w:val="center"/>
            </w:pPr>
            <w:r>
              <w:rPr>
                <w:sz w:val="19"/>
              </w:rPr>
              <w:t>viii</w:t>
            </w:r>
          </w:p>
        </w:tc>
      </w:tr>
      <w:tr>
        <w:tc>
          <w:tcPr>
            <w:tcW w:type="dxa" w:w="1728"/>
            <w:tcMar>
              <w:top w:w="60" w:type="dxa"/>
              <w:bottom w:w="60" w:type="dxa"/>
              <w:left w:w="100" w:type="dxa"/>
              <w:right w:w="100" w:type="dxa"/>
            </w:tcMar>
          </w:tcPr>
          <w:p>
            <w:pPr>
              <w:spacing w:line="276" w:lineRule="auto"/>
              <w:jc w:val="center"/>
            </w:pPr>
            <w:r>
              <w:rPr>
                <w:b/>
                <w:sz w:val="19"/>
              </w:rPr>
              <w:t>1</w:t>
            </w:r>
          </w:p>
        </w:tc>
        <w:tc>
          <w:tcPr>
            <w:tcW w:type="dxa" w:w="6480"/>
            <w:tcMar>
              <w:top w:w="60" w:type="dxa"/>
              <w:bottom w:w="60" w:type="dxa"/>
              <w:left w:w="100" w:type="dxa"/>
              <w:right w:w="100" w:type="dxa"/>
            </w:tcMar>
          </w:tcPr>
          <w:p>
            <w:pPr>
              <w:spacing w:line="276" w:lineRule="auto"/>
              <w:jc w:val="left"/>
            </w:pPr>
            <w:r>
              <w:rPr>
                <w:b/>
                <w:sz w:val="19"/>
              </w:rPr>
              <w:t>INTRODUCTION</w:t>
            </w:r>
          </w:p>
        </w:tc>
        <w:tc>
          <w:tcPr>
            <w:tcW w:type="dxa" w:w="1152"/>
            <w:tcMar>
              <w:top w:w="60" w:type="dxa"/>
              <w:bottom w:w="60" w:type="dxa"/>
              <w:left w:w="100" w:type="dxa"/>
              <w:right w:w="100" w:type="dxa"/>
            </w:tcMar>
          </w:tcPr>
          <w:p>
            <w:pPr>
              <w:spacing w:line="276" w:lineRule="auto"/>
              <w:jc w:val="center"/>
            </w:pPr>
            <w:r>
              <w:rPr>
                <w:b/>
                <w:sz w:val="19"/>
              </w:rPr>
              <w:t>1</w:t>
            </w:r>
          </w:p>
        </w:tc>
      </w:tr>
      <w:tr>
        <w:tc>
          <w:tcPr>
            <w:tcW w:type="dxa" w:w="1728"/>
            <w:tcMar>
              <w:top w:w="60" w:type="dxa"/>
              <w:bottom w:w="60" w:type="dxa"/>
              <w:left w:w="100" w:type="dxa"/>
              <w:right w:w="100" w:type="dxa"/>
            </w:tcMar>
          </w:tcPr>
          <w:p>
            <w:pPr>
              <w:spacing w:line="276" w:lineRule="auto"/>
              <w:jc w:val="center"/>
            </w:pPr>
            <w:r>
              <w:rPr>
                <w:sz w:val="19"/>
              </w:rPr>
              <w:t>1.1</w:t>
            </w:r>
          </w:p>
        </w:tc>
        <w:tc>
          <w:tcPr>
            <w:tcW w:type="dxa" w:w="6480"/>
            <w:tcMar>
              <w:top w:w="60" w:type="dxa"/>
              <w:bottom w:w="60" w:type="dxa"/>
              <w:left w:w="100" w:type="dxa"/>
              <w:right w:w="100" w:type="dxa"/>
            </w:tcMar>
          </w:tcPr>
          <w:p>
            <w:pPr>
              <w:spacing w:line="276" w:lineRule="auto"/>
              <w:jc w:val="left"/>
            </w:pPr>
            <w:r>
              <w:rPr>
                <w:sz w:val="19"/>
              </w:rPr>
              <w:t xml:space="preserve">    Overview</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1.2</w:t>
            </w:r>
          </w:p>
        </w:tc>
        <w:tc>
          <w:tcPr>
            <w:tcW w:type="dxa" w:w="6480"/>
            <w:tcMar>
              <w:top w:w="60" w:type="dxa"/>
              <w:bottom w:w="60" w:type="dxa"/>
              <w:left w:w="100" w:type="dxa"/>
              <w:right w:w="100" w:type="dxa"/>
            </w:tcMar>
          </w:tcPr>
          <w:p>
            <w:pPr>
              <w:spacing w:line="276" w:lineRule="auto"/>
              <w:jc w:val="left"/>
            </w:pPr>
            <w:r>
              <w:rPr>
                <w:sz w:val="19"/>
              </w:rPr>
              <w:t xml:space="preserve">    Purpose</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1.3</w:t>
            </w:r>
          </w:p>
        </w:tc>
        <w:tc>
          <w:tcPr>
            <w:tcW w:type="dxa" w:w="6480"/>
            <w:tcMar>
              <w:top w:w="60" w:type="dxa"/>
              <w:bottom w:w="60" w:type="dxa"/>
              <w:left w:w="100" w:type="dxa"/>
              <w:right w:w="100" w:type="dxa"/>
            </w:tcMar>
          </w:tcPr>
          <w:p>
            <w:pPr>
              <w:spacing w:line="276" w:lineRule="auto"/>
              <w:jc w:val="left"/>
            </w:pPr>
            <w:r>
              <w:rPr>
                <w:sz w:val="19"/>
              </w:rPr>
              <w:t xml:space="preserve">    Outcome</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1.4</w:t>
            </w:r>
          </w:p>
        </w:tc>
        <w:tc>
          <w:tcPr>
            <w:tcW w:type="dxa" w:w="6480"/>
            <w:tcMar>
              <w:top w:w="60" w:type="dxa"/>
              <w:bottom w:w="60" w:type="dxa"/>
              <w:left w:w="100" w:type="dxa"/>
              <w:right w:w="100" w:type="dxa"/>
            </w:tcMar>
          </w:tcPr>
          <w:p>
            <w:pPr>
              <w:spacing w:line="276" w:lineRule="auto"/>
              <w:jc w:val="left"/>
            </w:pPr>
            <w:r>
              <w:rPr>
                <w:sz w:val="19"/>
              </w:rPr>
              <w:t xml:space="preserve">    Objectives</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1.5</w:t>
            </w:r>
          </w:p>
        </w:tc>
        <w:tc>
          <w:tcPr>
            <w:tcW w:type="dxa" w:w="6480"/>
            <w:tcMar>
              <w:top w:w="60" w:type="dxa"/>
              <w:bottom w:w="60" w:type="dxa"/>
              <w:left w:w="100" w:type="dxa"/>
              <w:right w:w="100" w:type="dxa"/>
            </w:tcMar>
          </w:tcPr>
          <w:p>
            <w:pPr>
              <w:spacing w:line="276" w:lineRule="auto"/>
              <w:jc w:val="left"/>
            </w:pPr>
            <w:r>
              <w:rPr>
                <w:sz w:val="19"/>
              </w:rPr>
              <w:t xml:space="preserve">    Applications</w:t>
            </w:r>
          </w:p>
        </w:tc>
        <w:tc>
          <w:tcPr>
            <w:tcW w:type="dxa" w:w="1152"/>
            <w:tcMar>
              <w:top w:w="60" w:type="dxa"/>
              <w:bottom w:w="60" w:type="dxa"/>
              <w:left w:w="100" w:type="dxa"/>
              <w:right w:w="100" w:type="dxa"/>
            </w:tcMar>
          </w:tcPr>
          <w:p>
            <w:pPr>
              <w:spacing w:line="276" w:lineRule="auto"/>
              <w:jc w:val="center"/>
            </w:pPr>
            <w:r>
              <w:rPr>
                <w:sz w:val="19"/>
              </w:rPr>
              <w:t>3</w:t>
            </w:r>
          </w:p>
        </w:tc>
      </w:tr>
      <w:tr>
        <w:tc>
          <w:tcPr>
            <w:tcW w:type="dxa" w:w="1728"/>
            <w:tcMar>
              <w:top w:w="60" w:type="dxa"/>
              <w:bottom w:w="60" w:type="dxa"/>
              <w:left w:w="100" w:type="dxa"/>
              <w:right w:w="100" w:type="dxa"/>
            </w:tcMar>
          </w:tcPr>
          <w:p>
            <w:pPr>
              <w:spacing w:line="276" w:lineRule="auto"/>
              <w:jc w:val="center"/>
            </w:pPr>
            <w:r>
              <w:rPr>
                <w:b/>
                <w:sz w:val="19"/>
              </w:rPr>
              <w:t>2</w:t>
            </w:r>
          </w:p>
        </w:tc>
        <w:tc>
          <w:tcPr>
            <w:tcW w:type="dxa" w:w="6480"/>
            <w:tcMar>
              <w:top w:w="60" w:type="dxa"/>
              <w:bottom w:w="60" w:type="dxa"/>
              <w:left w:w="100" w:type="dxa"/>
              <w:right w:w="100" w:type="dxa"/>
            </w:tcMar>
          </w:tcPr>
          <w:p>
            <w:pPr>
              <w:spacing w:line="276" w:lineRule="auto"/>
              <w:jc w:val="left"/>
            </w:pPr>
            <w:r>
              <w:rPr>
                <w:b/>
                <w:sz w:val="19"/>
              </w:rPr>
              <w:t>EXISTING &amp; PROPOSED MODEL</w:t>
            </w:r>
          </w:p>
        </w:tc>
        <w:tc>
          <w:tcPr>
            <w:tcW w:type="dxa" w:w="1152"/>
            <w:tcMar>
              <w:top w:w="60" w:type="dxa"/>
              <w:bottom w:w="60" w:type="dxa"/>
              <w:left w:w="100" w:type="dxa"/>
              <w:right w:w="100" w:type="dxa"/>
            </w:tcMar>
          </w:tcPr>
          <w:p>
            <w:pPr>
              <w:spacing w:line="276" w:lineRule="auto"/>
              <w:jc w:val="center"/>
            </w:pPr>
            <w:r>
              <w:rPr>
                <w:b/>
                <w:sz w:val="19"/>
              </w:rPr>
              <w:t>4</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 xml:space="preserve">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2.2</w:t>
            </w:r>
          </w:p>
        </w:tc>
        <w:tc>
          <w:tcPr>
            <w:tcW w:type="dxa" w:w="6480"/>
            <w:tcMar>
              <w:top w:w="60" w:type="dxa"/>
              <w:bottom w:w="60" w:type="dxa"/>
              <w:left w:w="100" w:type="dxa"/>
              <w:right w:w="100" w:type="dxa"/>
            </w:tcMar>
          </w:tcPr>
          <w:p>
            <w:pPr>
              <w:spacing w:line="276" w:lineRule="auto"/>
              <w:jc w:val="left"/>
            </w:pPr>
            <w:r>
              <w:rPr>
                <w:sz w:val="19"/>
              </w:rPr>
              <w:t xml:space="preserve">    Limitations of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2.3</w:t>
            </w:r>
          </w:p>
        </w:tc>
        <w:tc>
          <w:tcPr>
            <w:tcW w:type="dxa" w:w="6480"/>
            <w:tcMar>
              <w:top w:w="60" w:type="dxa"/>
              <w:bottom w:w="60" w:type="dxa"/>
              <w:left w:w="100" w:type="dxa"/>
              <w:right w:w="100" w:type="dxa"/>
            </w:tcMar>
          </w:tcPr>
          <w:p>
            <w:pPr>
              <w:spacing w:line="276" w:lineRule="auto"/>
              <w:jc w:val="left"/>
            </w:pPr>
            <w:r>
              <w:rPr>
                <w:sz w:val="19"/>
              </w:rPr>
              <w:t xml:space="preserve">    Proposed System</w:t>
            </w:r>
          </w:p>
        </w:tc>
        <w:tc>
          <w:tcPr>
            <w:tcW w:type="dxa" w:w="1152"/>
            <w:tcMar>
              <w:top w:w="60" w:type="dxa"/>
              <w:bottom w:w="60" w:type="dxa"/>
              <w:left w:w="100" w:type="dxa"/>
              <w:right w:w="100" w:type="dxa"/>
            </w:tcMar>
          </w:tcPr>
          <w:p>
            <w:pPr>
              <w:spacing w:line="276" w:lineRule="auto"/>
              <w:jc w:val="center"/>
            </w:pPr>
            <w:r>
              <w:rPr>
                <w:sz w:val="19"/>
              </w:rPr>
              <w:t>5</w:t>
            </w:r>
          </w:p>
        </w:tc>
      </w:tr>
      <w:tr>
        <w:tc>
          <w:tcPr>
            <w:tcW w:type="dxa" w:w="1728"/>
            <w:tcMar>
              <w:top w:w="60" w:type="dxa"/>
              <w:bottom w:w="60" w:type="dxa"/>
              <w:left w:w="100" w:type="dxa"/>
              <w:right w:w="100" w:type="dxa"/>
            </w:tcMar>
          </w:tcPr>
          <w:p>
            <w:pPr>
              <w:spacing w:line="276" w:lineRule="auto"/>
              <w:jc w:val="center"/>
            </w:pPr>
            <w:r>
              <w:rPr>
                <w:sz w:val="19"/>
              </w:rPr>
              <w:t>2.4</w:t>
            </w:r>
          </w:p>
        </w:tc>
        <w:tc>
          <w:tcPr>
            <w:tcW w:type="dxa" w:w="6480"/>
            <w:tcMar>
              <w:top w:w="60" w:type="dxa"/>
              <w:bottom w:w="60" w:type="dxa"/>
              <w:left w:w="100" w:type="dxa"/>
              <w:right w:w="100" w:type="dxa"/>
            </w:tcMar>
          </w:tcPr>
          <w:p>
            <w:pPr>
              <w:spacing w:line="276" w:lineRule="auto"/>
              <w:jc w:val="left"/>
            </w:pPr>
            <w:r>
              <w:rPr>
                <w:sz w:val="19"/>
              </w:rPr>
              <w:t xml:space="preserve">    Advantages of Proposed System</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2.5</w:t>
            </w:r>
          </w:p>
        </w:tc>
        <w:tc>
          <w:tcPr>
            <w:tcW w:type="dxa" w:w="6480"/>
            <w:tcMar>
              <w:top w:w="60" w:type="dxa"/>
              <w:bottom w:w="60" w:type="dxa"/>
              <w:left w:w="100" w:type="dxa"/>
              <w:right w:w="100" w:type="dxa"/>
            </w:tcMar>
          </w:tcPr>
          <w:p>
            <w:pPr>
              <w:spacing w:line="276" w:lineRule="auto"/>
              <w:jc w:val="left"/>
            </w:pPr>
            <w:r>
              <w:rPr>
                <w:sz w:val="19"/>
              </w:rPr>
              <w:t xml:space="preserve">    Feasibility Study</w:t>
            </w:r>
          </w:p>
        </w:tc>
        <w:tc>
          <w:tcPr>
            <w:tcW w:type="dxa" w:w="1152"/>
            <w:tcMar>
              <w:top w:w="60" w:type="dxa"/>
              <w:bottom w:w="60" w:type="dxa"/>
              <w:left w:w="100" w:type="dxa"/>
              <w:right w:w="100" w:type="dxa"/>
            </w:tcMar>
          </w:tcPr>
          <w:p>
            <w:pPr>
              <w:spacing w:line="276" w:lineRule="auto"/>
              <w:jc w:val="center"/>
            </w:pPr>
            <w:r>
              <w:rPr>
                <w:sz w:val="19"/>
              </w:rPr>
              <w:t>7</w:t>
            </w:r>
          </w:p>
        </w:tc>
      </w:tr>
      <w:tr>
        <w:tc>
          <w:tcPr>
            <w:tcW w:type="dxa" w:w="1728"/>
            <w:tcMar>
              <w:top w:w="60" w:type="dxa"/>
              <w:bottom w:w="60" w:type="dxa"/>
              <w:left w:w="100" w:type="dxa"/>
              <w:right w:w="100" w:type="dxa"/>
            </w:tcMar>
          </w:tcPr>
          <w:p>
            <w:pPr>
              <w:spacing w:line="276" w:lineRule="auto"/>
              <w:jc w:val="center"/>
            </w:pPr>
            <w:r>
              <w:rPr>
                <w:b/>
                <w:sz w:val="19"/>
              </w:rPr>
              <w:t>3</w:t>
            </w:r>
          </w:p>
        </w:tc>
        <w:tc>
          <w:tcPr>
            <w:tcW w:type="dxa" w:w="6480"/>
            <w:tcMar>
              <w:top w:w="60" w:type="dxa"/>
              <w:bottom w:w="60" w:type="dxa"/>
              <w:left w:w="100" w:type="dxa"/>
              <w:right w:w="100" w:type="dxa"/>
            </w:tcMar>
          </w:tcPr>
          <w:p>
            <w:pPr>
              <w:spacing w:line="276" w:lineRule="auto"/>
              <w:jc w:val="left"/>
            </w:pPr>
            <w:r>
              <w:rPr>
                <w:b/>
                <w:sz w:val="19"/>
              </w:rPr>
              <w:t>SYSTEM DESIGN</w:t>
            </w:r>
          </w:p>
        </w:tc>
        <w:tc>
          <w:tcPr>
            <w:tcW w:type="dxa" w:w="1152"/>
            <w:tcMar>
              <w:top w:w="60" w:type="dxa"/>
              <w:bottom w:w="60" w:type="dxa"/>
              <w:left w:w="100" w:type="dxa"/>
              <w:right w:w="100" w:type="dxa"/>
            </w:tcMar>
          </w:tcPr>
          <w:p>
            <w:pPr>
              <w:spacing w:line="276" w:lineRule="auto"/>
              <w:jc w:val="center"/>
            </w:pPr>
            <w:r>
              <w:rPr>
                <w:b/>
                <w:sz w:val="19"/>
              </w:rPr>
              <w:t>9</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 xml:space="preserve">    Software Requirements Specifications (SRS)</w:t>
            </w:r>
          </w:p>
        </w:tc>
        <w:tc>
          <w:tcPr>
            <w:tcW w:type="dxa" w:w="1152"/>
            <w:tcMar>
              <w:top w:w="60" w:type="dxa"/>
              <w:bottom w:w="60" w:type="dxa"/>
              <w:left w:w="100" w:type="dxa"/>
              <w:right w:w="100" w:type="dxa"/>
            </w:tcMar>
          </w:tcPr>
          <w:p>
            <w:pPr>
              <w:spacing w:line="276" w:lineRule="auto"/>
              <w:jc w:val="center"/>
            </w:pPr>
            <w:r>
              <w:rPr>
                <w:sz w:val="19"/>
              </w:rPr>
              <w:t>9</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 xml:space="preserve">    UML Diagrams &amp; Design Diagrams</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 xml:space="preserve">    Design Components</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 xml:space="preserve">    Databases Description</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 xml:space="preserve">    User Interface Design</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 xml:space="preserve">    Low Level Design (LLD)</w:t>
            </w:r>
          </w:p>
        </w:tc>
        <w:tc>
          <w:tcPr>
            <w:tcW w:type="dxa" w:w="1152"/>
            <w:tcMar>
              <w:top w:w="60" w:type="dxa"/>
              <w:bottom w:w="60" w:type="dxa"/>
              <w:left w:w="100" w:type="dxa"/>
              <w:right w:w="100" w:type="dxa"/>
            </w:tcMar>
          </w:tcPr>
          <w:p>
            <w:pPr>
              <w:spacing w:line="276" w:lineRule="auto"/>
              <w:jc w:val="center"/>
            </w:pPr>
            <w:r>
              <w:rPr>
                <w:sz w:val="19"/>
              </w:rPr>
              <w:t>28</w:t>
            </w:r>
          </w:p>
        </w:tc>
      </w:tr>
      <w:tr>
        <w:tc>
          <w:tcPr>
            <w:tcW w:type="dxa" w:w="1728"/>
            <w:tcMar>
              <w:top w:w="60" w:type="dxa"/>
              <w:bottom w:w="60" w:type="dxa"/>
              <w:left w:w="100" w:type="dxa"/>
              <w:right w:w="100" w:type="dxa"/>
            </w:tcMar>
          </w:tcPr>
          <w:p>
            <w:pPr>
              <w:spacing w:line="276" w:lineRule="auto"/>
              <w:jc w:val="center"/>
            </w:pPr>
            <w:r>
              <w:rPr>
                <w:b/>
                <w:sz w:val="19"/>
              </w:rPr>
              <w:t>4</w:t>
            </w:r>
          </w:p>
        </w:tc>
        <w:tc>
          <w:tcPr>
            <w:tcW w:type="dxa" w:w="6480"/>
            <w:tcMar>
              <w:top w:w="60" w:type="dxa"/>
              <w:bottom w:w="60" w:type="dxa"/>
              <w:left w:w="100" w:type="dxa"/>
              <w:right w:w="100" w:type="dxa"/>
            </w:tcMar>
          </w:tcPr>
          <w:p>
            <w:pPr>
              <w:spacing w:line="276" w:lineRule="auto"/>
              <w:jc w:val="left"/>
            </w:pPr>
            <w:r>
              <w:rPr>
                <w:b/>
                <w:sz w:val="19"/>
              </w:rPr>
              <w:t>SYSTEM IMPLEMENTATION</w:t>
            </w:r>
          </w:p>
        </w:tc>
        <w:tc>
          <w:tcPr>
            <w:tcW w:type="dxa" w:w="1152"/>
            <w:tcMar>
              <w:top w:w="60" w:type="dxa"/>
              <w:bottom w:w="60" w:type="dxa"/>
              <w:left w:w="100" w:type="dxa"/>
              <w:right w:w="100" w:type="dxa"/>
            </w:tcMar>
          </w:tcPr>
          <w:p>
            <w:pPr>
              <w:spacing w:line="276" w:lineRule="auto"/>
              <w:jc w:val="center"/>
            </w:pPr>
            <w:r>
              <w:rPr>
                <w:b/>
                <w:sz w:val="19"/>
              </w:rPr>
              <w:t>30</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 xml:space="preserve">    Authentication &amp; Authorized Portal Implementation</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 xml:space="preserve">    Document Ingestion &amp; Cryptographic Hashing Implementation</w:t>
            </w:r>
          </w:p>
        </w:tc>
        <w:tc>
          <w:tcPr>
            <w:tcW w:type="dxa" w:w="1152"/>
            <w:tcMar>
              <w:top w:w="60" w:type="dxa"/>
              <w:bottom w:w="60" w:type="dxa"/>
              <w:left w:w="100" w:type="dxa"/>
              <w:right w:w="100" w:type="dxa"/>
            </w:tcMar>
          </w:tcPr>
          <w:p>
            <w:pPr>
              <w:spacing w:line="276" w:lineRule="auto"/>
              <w:jc w:val="center"/>
            </w:pPr>
            <w:r>
              <w:rPr>
                <w:sz w:val="19"/>
              </w:rPr>
              <w:t>32</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 xml:space="preserve">    Precedent Search &amp; Reciprocal Rank Fusion Implementation</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 xml:space="preserve">    Case Review &amp; CIS Workstation Implementation</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 xml:space="preserve">    Document Integrity Verification Implementation</w:t>
            </w:r>
          </w:p>
        </w:tc>
        <w:tc>
          <w:tcPr>
            <w:tcW w:type="dxa" w:w="1152"/>
            <w:tcMar>
              <w:top w:w="60" w:type="dxa"/>
              <w:bottom w:w="60" w:type="dxa"/>
              <w:left w:w="100" w:type="dxa"/>
              <w:right w:w="100" w:type="dxa"/>
            </w:tcMar>
          </w:tcPr>
          <w:p>
            <w:pPr>
              <w:spacing w:line="276" w:lineRule="auto"/>
              <w:jc w:val="center"/>
            </w:pPr>
            <w:r>
              <w:rPr>
                <w:sz w:val="19"/>
              </w:rPr>
              <w:t>36</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 xml:space="preserve">    AI Draft Studio &amp; Precedent Comparator Implementation</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b/>
                <w:sz w:val="19"/>
              </w:rPr>
              <w:t>5</w:t>
            </w:r>
          </w:p>
        </w:tc>
        <w:tc>
          <w:tcPr>
            <w:tcW w:type="dxa" w:w="6480"/>
            <w:tcMar>
              <w:top w:w="60" w:type="dxa"/>
              <w:bottom w:w="60" w:type="dxa"/>
              <w:left w:w="100" w:type="dxa"/>
              <w:right w:w="100" w:type="dxa"/>
            </w:tcMar>
          </w:tcPr>
          <w:p>
            <w:pPr>
              <w:spacing w:line="276" w:lineRule="auto"/>
              <w:jc w:val="left"/>
            </w:pPr>
            <w:r>
              <w:rPr>
                <w:b/>
                <w:sz w:val="19"/>
              </w:rPr>
              <w:t>RESULTS AND DISCUSSION</w:t>
            </w:r>
          </w:p>
        </w:tc>
        <w:tc>
          <w:tcPr>
            <w:tcW w:type="dxa" w:w="1152"/>
            <w:tcMar>
              <w:top w:w="60" w:type="dxa"/>
              <w:bottom w:w="60" w:type="dxa"/>
              <w:left w:w="100" w:type="dxa"/>
              <w:right w:w="100" w:type="dxa"/>
            </w:tcMar>
          </w:tcPr>
          <w:p>
            <w:pPr>
              <w:spacing w:line="276" w:lineRule="auto"/>
              <w:jc w:val="center"/>
            </w:pPr>
            <w:r>
              <w:rPr>
                <w:b/>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 xml:space="preserve">    Test Cases and Results</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 xml:space="preserve">    System Performance and Verification Discussion</w:t>
            </w:r>
          </w:p>
        </w:tc>
        <w:tc>
          <w:tcPr>
            <w:tcW w:type="dxa" w:w="1152"/>
            <w:tcMar>
              <w:top w:w="60" w:type="dxa"/>
              <w:bottom w:w="60" w:type="dxa"/>
              <w:left w:w="100" w:type="dxa"/>
              <w:right w:w="100" w:type="dxa"/>
            </w:tcMar>
          </w:tcPr>
          <w:p>
            <w:pPr>
              <w:spacing w:line="276" w:lineRule="auto"/>
              <w:jc w:val="center"/>
            </w:pPr>
            <w:r>
              <w:rPr>
                <w:sz w:val="19"/>
              </w:rPr>
              <w:t>46</w:t>
            </w:r>
          </w:p>
        </w:tc>
      </w:tr>
      <w:tr>
        <w:tc>
          <w:tcPr>
            <w:tcW w:type="dxa" w:w="1728"/>
            <w:tcMar>
              <w:top w:w="60" w:type="dxa"/>
              <w:bottom w:w="60" w:type="dxa"/>
              <w:left w:w="100" w:type="dxa"/>
              <w:right w:w="100" w:type="dxa"/>
            </w:tcMar>
          </w:tcPr>
          <w:p>
            <w:pPr>
              <w:spacing w:line="276" w:lineRule="auto"/>
              <w:jc w:val="center"/>
            </w:pPr>
            <w:r>
              <w:rPr>
                <w:b/>
                <w:sz w:val="19"/>
              </w:rPr>
              <w:t>6</w:t>
            </w:r>
          </w:p>
        </w:tc>
        <w:tc>
          <w:tcPr>
            <w:tcW w:type="dxa" w:w="6480"/>
            <w:tcMar>
              <w:top w:w="60" w:type="dxa"/>
              <w:bottom w:w="60" w:type="dxa"/>
              <w:left w:w="100" w:type="dxa"/>
              <w:right w:w="100" w:type="dxa"/>
            </w:tcMar>
          </w:tcPr>
          <w:p>
            <w:pPr>
              <w:spacing w:line="276" w:lineRule="auto"/>
              <w:jc w:val="left"/>
            </w:pPr>
            <w:r>
              <w:rPr>
                <w:b/>
                <w:sz w:val="19"/>
              </w:rPr>
              <w:t>CONCLUSION AND FUTURE ENHANCEMENT(S)</w:t>
            </w:r>
          </w:p>
        </w:tc>
        <w:tc>
          <w:tcPr>
            <w:tcW w:type="dxa" w:w="1152"/>
            <w:tcMar>
              <w:top w:w="60" w:type="dxa"/>
              <w:bottom w:w="60" w:type="dxa"/>
              <w:left w:w="100" w:type="dxa"/>
              <w:right w:w="100" w:type="dxa"/>
            </w:tcMar>
          </w:tcPr>
          <w:p>
            <w:pPr>
              <w:spacing w:line="276" w:lineRule="auto"/>
              <w:jc w:val="center"/>
            </w:pPr>
            <w:r>
              <w:rPr>
                <w:b/>
                <w:sz w:val="19"/>
              </w:rPr>
              <w:t>48</w:t>
            </w:r>
          </w:p>
        </w:tc>
      </w:tr>
      <w:tr>
        <w:tc>
          <w:tcPr>
            <w:tcW w:type="dxa" w:w="1728"/>
            <w:tcMar>
              <w:top w:w="60" w:type="dxa"/>
              <w:bottom w:w="60" w:type="dxa"/>
              <w:left w:w="100" w:type="dxa"/>
              <w:right w:w="100" w:type="dxa"/>
            </w:tcMar>
          </w:tcPr>
          <w:p>
            <w:pPr>
              <w:spacing w:line="276" w:lineRule="auto"/>
              <w:jc w:val="center"/>
            </w:pPr>
            <w:r>
              <w:rPr>
                <w:sz w:val="19"/>
              </w:rPr>
              <w:t>6.1</w:t>
            </w:r>
          </w:p>
        </w:tc>
        <w:tc>
          <w:tcPr>
            <w:tcW w:type="dxa" w:w="6480"/>
            <w:tcMar>
              <w:top w:w="60" w:type="dxa"/>
              <w:bottom w:w="60" w:type="dxa"/>
              <w:left w:w="100" w:type="dxa"/>
              <w:right w:w="100" w:type="dxa"/>
            </w:tcMar>
          </w:tcPr>
          <w:p>
            <w:pPr>
              <w:spacing w:line="276" w:lineRule="auto"/>
              <w:jc w:val="left"/>
            </w:pPr>
            <w:r>
              <w:rPr>
                <w:sz w:val="19"/>
              </w:rPr>
              <w:t xml:space="preserve">    Conclusion</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sz w:val="19"/>
              </w:rPr>
              <w:t>6.2</w:t>
            </w:r>
          </w:p>
        </w:tc>
        <w:tc>
          <w:tcPr>
            <w:tcW w:type="dxa" w:w="6480"/>
            <w:tcMar>
              <w:top w:w="60" w:type="dxa"/>
              <w:bottom w:w="60" w:type="dxa"/>
              <w:left w:w="100" w:type="dxa"/>
              <w:right w:w="100" w:type="dxa"/>
            </w:tcMar>
          </w:tcPr>
          <w:p>
            <w:pPr>
              <w:spacing w:line="276" w:lineRule="auto"/>
              <w:jc w:val="left"/>
            </w:pPr>
            <w:r>
              <w:rPr>
                <w:sz w:val="19"/>
              </w:rPr>
              <w:t xml:space="preserve">    Future Enhancements</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A: SYSTEM REQUIREMENTS</w:t>
            </w:r>
          </w:p>
        </w:tc>
        <w:tc>
          <w:tcPr>
            <w:tcW w:type="dxa" w:w="1152"/>
            <w:tcMar>
              <w:top w:w="60" w:type="dxa"/>
              <w:bottom w:w="60" w:type="dxa"/>
              <w:left w:w="100" w:type="dxa"/>
              <w:right w:w="100" w:type="dxa"/>
            </w:tcMar>
          </w:tcPr>
          <w:p>
            <w:pPr>
              <w:spacing w:line="276" w:lineRule="auto"/>
              <w:jc w:val="center"/>
            </w:pPr>
            <w:r>
              <w:rPr>
                <w:b/>
                <w:sz w:val="19"/>
              </w:rPr>
              <w:t>50</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B: SOURCE CODE</w:t>
            </w:r>
          </w:p>
        </w:tc>
        <w:tc>
          <w:tcPr>
            <w:tcW w:type="dxa" w:w="1152"/>
            <w:tcMar>
              <w:top w:w="60" w:type="dxa"/>
              <w:bottom w:w="60" w:type="dxa"/>
              <w:left w:w="100" w:type="dxa"/>
              <w:right w:w="100" w:type="dxa"/>
            </w:tcMar>
          </w:tcPr>
          <w:p>
            <w:pPr>
              <w:spacing w:line="276" w:lineRule="auto"/>
              <w:jc w:val="center"/>
            </w:pPr>
            <w:r>
              <w:rPr>
                <w:b/>
                <w:sz w:val="19"/>
              </w:rPr>
              <w:t>51</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REFERENCES</w:t>
            </w:r>
          </w:p>
        </w:tc>
        <w:tc>
          <w:tcPr>
            <w:tcW w:type="dxa" w:w="1152"/>
            <w:tcMar>
              <w:top w:w="60" w:type="dxa"/>
              <w:bottom w:w="60" w:type="dxa"/>
              <w:left w:w="100" w:type="dxa"/>
              <w:right w:w="100" w:type="dxa"/>
            </w:tcMar>
          </w:tcPr>
          <w:p>
            <w:pPr>
              <w:spacing w:line="276" w:lineRule="auto"/>
              <w:jc w:val="center"/>
            </w:pPr>
            <w:r>
              <w:rPr>
                <w:b/>
                <w:sz w:val="19"/>
              </w:rPr>
              <w:t>55</w:t>
            </w:r>
          </w:p>
        </w:tc>
      </w:tr>
    </w:tbl>
    <w:p>
      <w:r>
        <w:br w:type="page"/>
      </w:r>
    </w:p>
    <w:p>
      <w:pPr>
        <w:spacing w:after="360"/>
        <w:jc w:val="center"/>
      </w:pPr>
      <w:r>
        <w:rPr>
          <w:b/>
          <w:sz w:val="28"/>
        </w:rPr>
        <w:t>LIST OF TABLES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TABLE NO.</w:t>
            </w:r>
          </w:p>
        </w:tc>
        <w:tc>
          <w:tcPr>
            <w:tcW w:type="dxa" w:w="3000"/>
            <w:tcMar>
              <w:top w:w="100" w:type="dxa"/>
              <w:bottom w:w="100" w:type="dxa"/>
              <w:left w:w="100" w:type="dxa"/>
              <w:right w:w="100" w:type="dxa"/>
            </w:tcMar>
            <w:shd w:fill="E0E7FF"/>
          </w:tcPr>
          <w:p>
            <w:pPr>
              <w:jc w:val="center"/>
            </w:pPr>
            <w:r>
              <w:rPr>
                <w:b/>
                <w:sz w:val="21"/>
              </w:rPr>
              <w:t>TABLE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Evaluation Metric Comparison: Existing vs. Proposed LexGuard</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User Accounts Table Details (users)</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Legal Case Master Table Details (cases)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Document Versioning Details (document_versions)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Hash-Chained Audit Ledger Details (audit_logs)</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Case Approval Queue Details (approval_queue)</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Advocate Bookmarks &amp; Binders Details (bookmarks)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Draft Assistant Sessions Details (draft_sessions)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Positive Test Case for User Authentication (TC_AUTH_01)</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Negative Test Case for Invalid Login Handling (TC_AUTH_02)</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5.3</w:t>
            </w:r>
          </w:p>
        </w:tc>
        <w:tc>
          <w:tcPr>
            <w:tcW w:type="dxa" w:w="6480"/>
            <w:tcMar>
              <w:top w:w="60" w:type="dxa"/>
              <w:bottom w:w="60" w:type="dxa"/>
              <w:left w:w="100" w:type="dxa"/>
              <w:right w:w="100" w:type="dxa"/>
            </w:tcMar>
          </w:tcPr>
          <w:p>
            <w:pPr>
              <w:spacing w:line="276" w:lineRule="auto"/>
              <w:jc w:val="left"/>
            </w:pPr>
            <w:r>
              <w:rPr>
                <w:sz w:val="19"/>
              </w:rPr>
              <w:t>Positive Test Case for Document Ingestion &amp; Hashing (TC_INGEST_01)</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5.4</w:t>
            </w:r>
          </w:p>
        </w:tc>
        <w:tc>
          <w:tcPr>
            <w:tcW w:type="dxa" w:w="6480"/>
            <w:tcMar>
              <w:top w:w="60" w:type="dxa"/>
              <w:bottom w:w="60" w:type="dxa"/>
              <w:left w:w="100" w:type="dxa"/>
              <w:right w:w="100" w:type="dxa"/>
            </w:tcMar>
          </w:tcPr>
          <w:p>
            <w:pPr>
              <w:spacing w:line="276" w:lineRule="auto"/>
              <w:jc w:val="left"/>
            </w:pPr>
            <w:r>
              <w:rPr>
                <w:sz w:val="19"/>
              </w:rPr>
              <w:t>Negative Test Case for Duplicate Document Ingestion (TC_INGEST_02)</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5.5</w:t>
            </w:r>
          </w:p>
        </w:tc>
        <w:tc>
          <w:tcPr>
            <w:tcW w:type="dxa" w:w="6480"/>
            <w:tcMar>
              <w:top w:w="60" w:type="dxa"/>
              <w:bottom w:w="60" w:type="dxa"/>
              <w:left w:w="100" w:type="dxa"/>
              <w:right w:w="100" w:type="dxa"/>
            </w:tcMar>
          </w:tcPr>
          <w:p>
            <w:pPr>
              <w:spacing w:line="276" w:lineRule="auto"/>
              <w:jc w:val="left"/>
            </w:pPr>
            <w:r>
              <w:rPr>
                <w:sz w:val="19"/>
              </w:rPr>
              <w:t>Positive Test Case for Hybrid Precedent Search &amp; RRF (TC_SEARCH_01)</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5.6</w:t>
            </w:r>
          </w:p>
        </w:tc>
        <w:tc>
          <w:tcPr>
            <w:tcW w:type="dxa" w:w="6480"/>
            <w:tcMar>
              <w:top w:w="60" w:type="dxa"/>
              <w:bottom w:w="60" w:type="dxa"/>
              <w:left w:w="100" w:type="dxa"/>
              <w:right w:w="100" w:type="dxa"/>
            </w:tcMar>
          </w:tcPr>
          <w:p>
            <w:pPr>
              <w:spacing w:line="276" w:lineRule="auto"/>
              <w:jc w:val="left"/>
            </w:pPr>
            <w:r>
              <w:rPr>
                <w:sz w:val="19"/>
              </w:rPr>
              <w:t>Negative Test Case for Malformed Legal Query Handling (TC_SEARCH_02)</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5.7</w:t>
            </w:r>
          </w:p>
        </w:tc>
        <w:tc>
          <w:tcPr>
            <w:tcW w:type="dxa" w:w="6480"/>
            <w:tcMar>
              <w:top w:w="60" w:type="dxa"/>
              <w:bottom w:w="60" w:type="dxa"/>
              <w:left w:w="100" w:type="dxa"/>
              <w:right w:w="100" w:type="dxa"/>
            </w:tcMar>
          </w:tcPr>
          <w:p>
            <w:pPr>
              <w:spacing w:line="276" w:lineRule="auto"/>
              <w:jc w:val="left"/>
            </w:pPr>
            <w:r>
              <w:rPr>
                <w:sz w:val="19"/>
              </w:rPr>
              <w:t>Positive Test Case for Document Integrity Verification (TC_VERIFY_01)</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5.8</w:t>
            </w:r>
          </w:p>
        </w:tc>
        <w:tc>
          <w:tcPr>
            <w:tcW w:type="dxa" w:w="6480"/>
            <w:tcMar>
              <w:top w:w="60" w:type="dxa"/>
              <w:bottom w:w="60" w:type="dxa"/>
              <w:left w:w="100" w:type="dxa"/>
              <w:right w:w="100" w:type="dxa"/>
            </w:tcMar>
          </w:tcPr>
          <w:p>
            <w:pPr>
              <w:spacing w:line="276" w:lineRule="auto"/>
              <w:jc w:val="left"/>
            </w:pPr>
            <w:r>
              <w:rPr>
                <w:sz w:val="19"/>
              </w:rPr>
              <w:t>Negative Test Case for Tampered File Detection Alert (TC_VERIFY_02)</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5.9</w:t>
            </w:r>
          </w:p>
        </w:tc>
        <w:tc>
          <w:tcPr>
            <w:tcW w:type="dxa" w:w="6480"/>
            <w:tcMar>
              <w:top w:w="60" w:type="dxa"/>
              <w:bottom w:w="60" w:type="dxa"/>
              <w:left w:w="100" w:type="dxa"/>
              <w:right w:w="100" w:type="dxa"/>
            </w:tcMar>
          </w:tcPr>
          <w:p>
            <w:pPr>
              <w:spacing w:line="276" w:lineRule="auto"/>
              <w:jc w:val="left"/>
            </w:pPr>
            <w:r>
              <w:rPr>
                <w:sz w:val="19"/>
              </w:rPr>
              <w:t>Positive Test Case for AI Draft Petition Gap Analysis (TC_DRAFT_01)</w:t>
            </w:r>
          </w:p>
        </w:tc>
        <w:tc>
          <w:tcPr>
            <w:tcW w:type="dxa" w:w="1152"/>
            <w:tcMar>
              <w:top w:w="60" w:type="dxa"/>
              <w:bottom w:w="60" w:type="dxa"/>
              <w:left w:w="100" w:type="dxa"/>
              <w:right w:w="100" w:type="dxa"/>
            </w:tcMar>
          </w:tcPr>
          <w:p>
            <w:pPr>
              <w:spacing w:line="276" w:lineRule="auto"/>
              <w:jc w:val="center"/>
            </w:pPr>
            <w:r>
              <w:rPr>
                <w:sz w:val="19"/>
              </w:rPr>
              <w:t>44</w:t>
            </w:r>
          </w:p>
        </w:tc>
      </w:tr>
      <w:tr>
        <w:tc>
          <w:tcPr>
            <w:tcW w:type="dxa" w:w="1728"/>
            <w:tcMar>
              <w:top w:w="60" w:type="dxa"/>
              <w:bottom w:w="60" w:type="dxa"/>
              <w:left w:w="100" w:type="dxa"/>
              <w:right w:w="100" w:type="dxa"/>
            </w:tcMar>
          </w:tcPr>
          <w:p>
            <w:pPr>
              <w:spacing w:line="276" w:lineRule="auto"/>
              <w:jc w:val="center"/>
            </w:pPr>
            <w:r>
              <w:rPr>
                <w:sz w:val="19"/>
              </w:rPr>
              <w:t>5.10</w:t>
            </w:r>
          </w:p>
        </w:tc>
        <w:tc>
          <w:tcPr>
            <w:tcW w:type="dxa" w:w="6480"/>
            <w:tcMar>
              <w:top w:w="60" w:type="dxa"/>
              <w:bottom w:w="60" w:type="dxa"/>
              <w:left w:w="100" w:type="dxa"/>
              <w:right w:w="100" w:type="dxa"/>
            </w:tcMar>
          </w:tcPr>
          <w:p>
            <w:pPr>
              <w:spacing w:line="276" w:lineRule="auto"/>
              <w:jc w:val="left"/>
            </w:pPr>
            <w:r>
              <w:rPr>
                <w:sz w:val="19"/>
              </w:rPr>
              <w:t>Positive Test Case for Multi-Precedent Comparison Matrix (TC_COMPARE_01)</w:t>
            </w:r>
          </w:p>
        </w:tc>
        <w:tc>
          <w:tcPr>
            <w:tcW w:type="dxa" w:w="1152"/>
            <w:tcMar>
              <w:top w:w="60" w:type="dxa"/>
              <w:bottom w:w="60" w:type="dxa"/>
              <w:left w:w="100" w:type="dxa"/>
              <w:right w:w="100" w:type="dxa"/>
            </w:tcMar>
          </w:tcPr>
          <w:p>
            <w:pPr>
              <w:spacing w:line="276" w:lineRule="auto"/>
              <w:jc w:val="center"/>
            </w:pPr>
            <w:r>
              <w:rPr>
                <w:sz w:val="19"/>
              </w:rPr>
              <w:t>44</w:t>
            </w:r>
          </w:p>
        </w:tc>
      </w:tr>
    </w:tbl>
    <w:p>
      <w:r>
        <w:br w:type="page"/>
      </w:r>
    </w:p>
    <w:p>
      <w:pPr>
        <w:spacing w:after="360"/>
        <w:jc w:val="center"/>
      </w:pPr>
      <w:r>
        <w:rPr>
          <w:b/>
          <w:sz w:val="28"/>
        </w:rPr>
        <w:t>LIST OF FIGURES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FIGURE NO.</w:t>
            </w:r>
          </w:p>
        </w:tc>
        <w:tc>
          <w:tcPr>
            <w:tcW w:type="dxa" w:w="3000"/>
            <w:tcMar>
              <w:top w:w="100" w:type="dxa"/>
              <w:bottom w:w="100" w:type="dxa"/>
              <w:left w:w="100" w:type="dxa"/>
              <w:right w:w="100" w:type="dxa"/>
            </w:tcMar>
            <w:shd w:fill="E0E7FF"/>
          </w:tcPr>
          <w:p>
            <w:pPr>
              <w:jc w:val="center"/>
            </w:pPr>
            <w:r>
              <w:rPr>
                <w:b/>
                <w:sz w:val="21"/>
              </w:rPr>
              <w:t>FIGURE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 Case Diagram for Lexguard Legal Case Research System</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System Class Diagram &amp; Data Modeling Architecture</w:t>
            </w:r>
          </w:p>
        </w:tc>
        <w:tc>
          <w:tcPr>
            <w:tcW w:type="dxa" w:w="1152"/>
            <w:tcMar>
              <w:top w:w="60" w:type="dxa"/>
              <w:bottom w:w="60" w:type="dxa"/>
              <w:left w:w="100" w:type="dxa"/>
              <w:right w:w="100" w:type="dxa"/>
            </w:tcMar>
          </w:tcPr>
          <w:p>
            <w:pPr>
              <w:spacing w:line="276" w:lineRule="auto"/>
              <w:jc w:val="center"/>
            </w:pPr>
            <w:r>
              <w:rPr>
                <w:sz w:val="19"/>
              </w:rPr>
              <w:t>13</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Activity Diagram for Document Ingestion and Integrity Verification</w:t>
            </w:r>
          </w:p>
        </w:tc>
        <w:tc>
          <w:tcPr>
            <w:tcW w:type="dxa" w:w="1152"/>
            <w:tcMar>
              <w:top w:w="60" w:type="dxa"/>
              <w:bottom w:w="60" w:type="dxa"/>
              <w:left w:w="100" w:type="dxa"/>
              <w:right w:w="100" w:type="dxa"/>
            </w:tcMar>
          </w:tcPr>
          <w:p>
            <w:pPr>
              <w:spacing w:line="276" w:lineRule="auto"/>
              <w:jc w:val="center"/>
            </w:pPr>
            <w:r>
              <w:rPr>
                <w:sz w:val="19"/>
              </w:rPr>
              <w:t>14</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State Diagram for Case Document Status Lifecycle</w:t>
            </w:r>
          </w:p>
        </w:tc>
        <w:tc>
          <w:tcPr>
            <w:tcW w:type="dxa" w:w="1152"/>
            <w:tcMar>
              <w:top w:w="60" w:type="dxa"/>
              <w:bottom w:w="60" w:type="dxa"/>
              <w:left w:w="100" w:type="dxa"/>
              <w:right w:w="100" w:type="dxa"/>
            </w:tcMar>
          </w:tcPr>
          <w:p>
            <w:pPr>
              <w:spacing w:line="276" w:lineRule="auto"/>
              <w:jc w:val="center"/>
            </w:pPr>
            <w:r>
              <w:rPr>
                <w:sz w:val="19"/>
              </w:rPr>
              <w:t>15</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Sequence Diagram for Precedent Search and Verification Flow</w:t>
            </w:r>
          </w:p>
        </w:tc>
        <w:tc>
          <w:tcPr>
            <w:tcW w:type="dxa" w:w="1152"/>
            <w:tcMar>
              <w:top w:w="60" w:type="dxa"/>
              <w:bottom w:w="60" w:type="dxa"/>
              <w:left w:w="100" w:type="dxa"/>
              <w:right w:w="100" w:type="dxa"/>
            </w:tcMar>
          </w:tcPr>
          <w:p>
            <w:pPr>
              <w:spacing w:line="276" w:lineRule="auto"/>
              <w:jc w:val="center"/>
            </w:pPr>
            <w:r>
              <w:rPr>
                <w:sz w:val="19"/>
              </w:rPr>
              <w:t>16</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Entity Relationship (ER) Diagram for Lexguard Database</w:t>
            </w:r>
          </w:p>
        </w:tc>
        <w:tc>
          <w:tcPr>
            <w:tcW w:type="dxa" w:w="1152"/>
            <w:tcMar>
              <w:top w:w="60" w:type="dxa"/>
              <w:bottom w:w="60" w:type="dxa"/>
              <w:left w:w="100" w:type="dxa"/>
              <w:right w:w="100" w:type="dxa"/>
            </w:tcMar>
          </w:tcPr>
          <w:p>
            <w:pPr>
              <w:spacing w:line="276" w:lineRule="auto"/>
              <w:jc w:val="center"/>
            </w:pPr>
            <w:r>
              <w:rPr>
                <w:sz w:val="19"/>
              </w:rPr>
              <w:t>17</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Data Flow Diagram (Level 0 and Level 1) for Lexguard</w:t>
            </w:r>
          </w:p>
        </w:tc>
        <w:tc>
          <w:tcPr>
            <w:tcW w:type="dxa" w:w="1152"/>
            <w:tcMar>
              <w:top w:w="60" w:type="dxa"/>
              <w:bottom w:w="60" w:type="dxa"/>
              <w:left w:w="100" w:type="dxa"/>
              <w:right w:w="100" w:type="dxa"/>
            </w:tcMar>
          </w:tcPr>
          <w:p>
            <w:pPr>
              <w:spacing w:line="276" w:lineRule="auto"/>
              <w:jc w:val="center"/>
            </w:pPr>
            <w:r>
              <w:rPr>
                <w:sz w:val="19"/>
              </w:rPr>
              <w:t>18</w:t>
            </w:r>
          </w:p>
        </w:tc>
      </w:tr>
      <w:tr>
        <w:tc>
          <w:tcPr>
            <w:tcW w:type="dxa" w:w="1728"/>
            <w:tcMar>
              <w:top w:w="60" w:type="dxa"/>
              <w:bottom w:w="60" w:type="dxa"/>
              <w:left w:w="100" w:type="dxa"/>
              <w:right w:w="100" w:type="dxa"/>
            </w:tcMar>
          </w:tcPr>
          <w:p>
            <w:pPr>
              <w:spacing w:line="276" w:lineRule="auto"/>
              <w:jc w:val="center"/>
            </w:pPr>
            <w:r>
              <w:rPr>
                <w:sz w:val="19"/>
              </w:rPr>
              <w:t>3.8</w:t>
            </w:r>
          </w:p>
        </w:tc>
        <w:tc>
          <w:tcPr>
            <w:tcW w:type="dxa" w:w="6480"/>
            <w:tcMar>
              <w:top w:w="60" w:type="dxa"/>
              <w:bottom w:w="60" w:type="dxa"/>
              <w:left w:w="100" w:type="dxa"/>
              <w:right w:w="100" w:type="dxa"/>
            </w:tcMar>
          </w:tcPr>
          <w:p>
            <w:pPr>
              <w:spacing w:line="276" w:lineRule="auto"/>
              <w:jc w:val="left"/>
            </w:pPr>
            <w:r>
              <w:rPr>
                <w:sz w:val="19"/>
              </w:rPr>
              <w:t>System Architecture &amp; Component Diagram of Decoupled AI Services</w:t>
            </w:r>
          </w:p>
        </w:tc>
        <w:tc>
          <w:tcPr>
            <w:tcW w:type="dxa" w:w="1152"/>
            <w:tcMar>
              <w:top w:w="60" w:type="dxa"/>
              <w:bottom w:w="60" w:type="dxa"/>
              <w:left w:w="100" w:type="dxa"/>
              <w:right w:w="100" w:type="dxa"/>
            </w:tcMar>
          </w:tcPr>
          <w:p>
            <w:pPr>
              <w:spacing w:line="276" w:lineRule="auto"/>
              <w:jc w:val="center"/>
            </w:pPr>
            <w:r>
              <w:rPr>
                <w:sz w:val="19"/>
              </w:rPr>
              <w:t>19</w:t>
            </w:r>
          </w:p>
        </w:tc>
      </w:tr>
      <w:tr>
        <w:tc>
          <w:tcPr>
            <w:tcW w:type="dxa" w:w="1728"/>
            <w:tcMar>
              <w:top w:w="60" w:type="dxa"/>
              <w:bottom w:w="60" w:type="dxa"/>
              <w:left w:w="100" w:type="dxa"/>
              <w:right w:w="100" w:type="dxa"/>
            </w:tcMar>
          </w:tcPr>
          <w:p>
            <w:pPr>
              <w:spacing w:line="276" w:lineRule="auto"/>
              <w:jc w:val="center"/>
            </w:pPr>
            <w:r>
              <w:rPr>
                <w:sz w:val="19"/>
              </w:rPr>
              <w:t>3.9</w:t>
            </w:r>
          </w:p>
        </w:tc>
        <w:tc>
          <w:tcPr>
            <w:tcW w:type="dxa" w:w="6480"/>
            <w:tcMar>
              <w:top w:w="60" w:type="dxa"/>
              <w:bottom w:w="60" w:type="dxa"/>
              <w:left w:w="100" w:type="dxa"/>
              <w:right w:w="100" w:type="dxa"/>
            </w:tcMar>
          </w:tcPr>
          <w:p>
            <w:pPr>
              <w:spacing w:line="276" w:lineRule="auto"/>
              <w:jc w:val="left"/>
            </w:pPr>
            <w:r>
              <w:rPr>
                <w:sz w:val="19"/>
              </w:rPr>
              <w:t>Physical Deployment Diagram for Court Intranet Infrastructure</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3.10</w:t>
            </w:r>
          </w:p>
        </w:tc>
        <w:tc>
          <w:tcPr>
            <w:tcW w:type="dxa" w:w="6480"/>
            <w:tcMar>
              <w:top w:w="60" w:type="dxa"/>
              <w:bottom w:w="60" w:type="dxa"/>
              <w:left w:w="100" w:type="dxa"/>
              <w:right w:w="100" w:type="dxa"/>
            </w:tcMar>
          </w:tcPr>
          <w:p>
            <w:pPr>
              <w:spacing w:line="276" w:lineRule="auto"/>
              <w:jc w:val="left"/>
            </w:pPr>
            <w:r>
              <w:rPr>
                <w:sz w:val="19"/>
              </w:rPr>
              <w:t>User Login and Secure Role-Based Authentication Interface</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3.11</w:t>
            </w:r>
          </w:p>
        </w:tc>
        <w:tc>
          <w:tcPr>
            <w:tcW w:type="dxa" w:w="6480"/>
            <w:tcMar>
              <w:top w:w="60" w:type="dxa"/>
              <w:bottom w:w="60" w:type="dxa"/>
              <w:left w:w="100" w:type="dxa"/>
              <w:right w:w="100" w:type="dxa"/>
            </w:tcMar>
          </w:tcPr>
          <w:p>
            <w:pPr>
              <w:spacing w:line="276" w:lineRule="auto"/>
              <w:jc w:val="left"/>
            </w:pPr>
            <w:r>
              <w:rPr>
                <w:sz w:val="19"/>
              </w:rPr>
              <w:t>Advocate User Registration &amp; Bar Council Verification Interface</w:t>
            </w:r>
          </w:p>
        </w:tc>
        <w:tc>
          <w:tcPr>
            <w:tcW w:type="dxa" w:w="1152"/>
            <w:tcMar>
              <w:top w:w="60" w:type="dxa"/>
              <w:bottom w:w="60" w:type="dxa"/>
              <w:left w:w="100" w:type="dxa"/>
              <w:right w:w="100" w:type="dxa"/>
            </w:tcMar>
          </w:tcPr>
          <w:p>
            <w:pPr>
              <w:spacing w:line="276" w:lineRule="auto"/>
              <w:jc w:val="center"/>
            </w:pPr>
            <w:r>
              <w:rPr>
                <w:sz w:val="19"/>
              </w:rPr>
              <w:t>26</w:t>
            </w:r>
          </w:p>
        </w:tc>
      </w:tr>
      <w:tr>
        <w:tc>
          <w:tcPr>
            <w:tcW w:type="dxa" w:w="1728"/>
            <w:tcMar>
              <w:top w:w="60" w:type="dxa"/>
              <w:bottom w:w="60" w:type="dxa"/>
              <w:left w:w="100" w:type="dxa"/>
              <w:right w:w="100" w:type="dxa"/>
            </w:tcMar>
          </w:tcPr>
          <w:p>
            <w:pPr>
              <w:spacing w:line="276" w:lineRule="auto"/>
              <w:jc w:val="center"/>
            </w:pPr>
            <w:r>
              <w:rPr>
                <w:sz w:val="19"/>
              </w:rPr>
              <w:t>3.12</w:t>
            </w:r>
          </w:p>
        </w:tc>
        <w:tc>
          <w:tcPr>
            <w:tcW w:type="dxa" w:w="6480"/>
            <w:tcMar>
              <w:top w:w="60" w:type="dxa"/>
              <w:bottom w:w="60" w:type="dxa"/>
              <w:left w:w="100" w:type="dxa"/>
              <w:right w:w="100" w:type="dxa"/>
            </w:tcMar>
          </w:tcPr>
          <w:p>
            <w:pPr>
              <w:spacing w:line="276" w:lineRule="auto"/>
              <w:jc w:val="left"/>
            </w:pPr>
            <w:r>
              <w:rPr>
                <w:sz w:val="19"/>
              </w:rPr>
              <w:t>Senior Court Staff Approval Queue and Metadata Verification Panel</w:t>
            </w:r>
          </w:p>
        </w:tc>
        <w:tc>
          <w:tcPr>
            <w:tcW w:type="dxa" w:w="1152"/>
            <w:tcMar>
              <w:top w:w="60" w:type="dxa"/>
              <w:bottom w:w="60" w:type="dxa"/>
              <w:left w:w="100" w:type="dxa"/>
              <w:right w:w="100" w:type="dxa"/>
            </w:tcMar>
          </w:tcPr>
          <w:p>
            <w:pPr>
              <w:spacing w:line="276" w:lineRule="auto"/>
              <w:jc w:val="center"/>
            </w:pPr>
            <w:r>
              <w:rPr>
                <w:sz w:val="19"/>
              </w:rPr>
              <w:t>27</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High Court Authorized Portal Landing Interface &amp; 10-Service Grid</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Madras High Court Daily Cause List Live Hearing Status Tracker</w:t>
            </w:r>
          </w:p>
        </w:tc>
        <w:tc>
          <w:tcPr>
            <w:tcW w:type="dxa" w:w="1152"/>
            <w:tcMar>
              <w:top w:w="60" w:type="dxa"/>
              <w:bottom w:w="60" w:type="dxa"/>
              <w:left w:w="100" w:type="dxa"/>
              <w:right w:w="100" w:type="dxa"/>
            </w:tcMar>
          </w:tcPr>
          <w:p>
            <w:pPr>
              <w:spacing w:line="276" w:lineRule="auto"/>
              <w:jc w:val="center"/>
            </w:pPr>
            <w:r>
              <w:rPr>
                <w:sz w:val="19"/>
              </w:rPr>
              <w:t>31</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Case Ingestion Desk with Automated SHA-256 Hashing Pipeline</w:t>
            </w:r>
          </w:p>
        </w:tc>
        <w:tc>
          <w:tcPr>
            <w:tcW w:type="dxa" w:w="1152"/>
            <w:tcMar>
              <w:top w:w="60" w:type="dxa"/>
              <w:bottom w:w="60" w:type="dxa"/>
              <w:left w:w="100" w:type="dxa"/>
              <w:right w:w="100" w:type="dxa"/>
            </w:tcMar>
          </w:tcPr>
          <w:p>
            <w:pPr>
              <w:spacing w:line="276" w:lineRule="auto"/>
              <w:jc w:val="center"/>
            </w:pPr>
            <w:r>
              <w:rPr>
                <w:sz w:val="19"/>
              </w:rPr>
              <w:t>33</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Statutory Acts Directory &amp; BNS 2023 Concordance Explorer</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Precedent Hybrid Search and Reciprocal Rank Fusion Results View</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Case Viewer with Canvas PDF Rendering and Live SHA-256 Badge</w:t>
            </w:r>
          </w:p>
        </w:tc>
        <w:tc>
          <w:tcPr>
            <w:tcW w:type="dxa" w:w="1152"/>
            <w:tcMar>
              <w:top w:w="60" w:type="dxa"/>
              <w:bottom w:w="60" w:type="dxa"/>
              <w:left w:w="100" w:type="dxa"/>
              <w:right w:w="100" w:type="dxa"/>
            </w:tcMar>
          </w:tcPr>
          <w:p>
            <w:pPr>
              <w:spacing w:line="276" w:lineRule="auto"/>
              <w:jc w:val="center"/>
            </w:pPr>
            <w:r>
              <w:rPr>
                <w:sz w:val="19"/>
              </w:rPr>
              <w:t>37</w:t>
            </w:r>
          </w:p>
        </w:tc>
      </w:tr>
      <w:tr>
        <w:tc>
          <w:tcPr>
            <w:tcW w:type="dxa" w:w="1728"/>
            <w:tcMar>
              <w:top w:w="60" w:type="dxa"/>
              <w:bottom w:w="60" w:type="dxa"/>
              <w:left w:w="100" w:type="dxa"/>
              <w:right w:w="100" w:type="dxa"/>
            </w:tcMar>
          </w:tcPr>
          <w:p>
            <w:pPr>
              <w:spacing w:line="276" w:lineRule="auto"/>
              <w:jc w:val="center"/>
            </w:pPr>
            <w:r>
              <w:rPr>
                <w:sz w:val="19"/>
              </w:rPr>
              <w:t>4.7</w:t>
            </w:r>
          </w:p>
        </w:tc>
        <w:tc>
          <w:tcPr>
            <w:tcW w:type="dxa" w:w="6480"/>
            <w:tcMar>
              <w:top w:w="60" w:type="dxa"/>
              <w:bottom w:w="60" w:type="dxa"/>
              <w:left w:w="100" w:type="dxa"/>
              <w:right w:w="100" w:type="dxa"/>
            </w:tcMar>
          </w:tcPr>
          <w:p>
            <w:pPr>
              <w:spacing w:line="276" w:lineRule="auto"/>
              <w:jc w:val="left"/>
            </w:pPr>
            <w:r>
              <w:rPr>
                <w:sz w:val="19"/>
              </w:rPr>
              <w:t>On-Demand Cryptographic Tamper Verification Engine</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sz w:val="19"/>
              </w:rPr>
              <w:t>4.8</w:t>
            </w:r>
          </w:p>
        </w:tc>
        <w:tc>
          <w:tcPr>
            <w:tcW w:type="dxa" w:w="6480"/>
            <w:tcMar>
              <w:top w:w="60" w:type="dxa"/>
              <w:bottom w:w="60" w:type="dxa"/>
              <w:left w:w="100" w:type="dxa"/>
              <w:right w:w="100" w:type="dxa"/>
            </w:tcMar>
          </w:tcPr>
          <w:p>
            <w:pPr>
              <w:spacing w:line="276" w:lineRule="auto"/>
              <w:jc w:val="left"/>
            </w:pPr>
            <w:r>
              <w:rPr>
                <w:sz w:val="19"/>
              </w:rPr>
              <w:t>AI Judgment Draft Studio with Real-Time Argument Gap Analysis</w:t>
            </w:r>
          </w:p>
        </w:tc>
        <w:tc>
          <w:tcPr>
            <w:tcW w:type="dxa" w:w="1152"/>
            <w:tcMar>
              <w:top w:w="60" w:type="dxa"/>
              <w:bottom w:w="60" w:type="dxa"/>
              <w:left w:w="100" w:type="dxa"/>
              <w:right w:w="100" w:type="dxa"/>
            </w:tcMar>
          </w:tcPr>
          <w:p>
            <w:pPr>
              <w:spacing w:line="276" w:lineRule="auto"/>
              <w:jc w:val="center"/>
            </w:pPr>
            <w:r>
              <w:rPr>
                <w:sz w:val="19"/>
              </w:rPr>
              <w:t>39</w:t>
            </w:r>
          </w:p>
        </w:tc>
      </w:tr>
      <w:tr>
        <w:tc>
          <w:tcPr>
            <w:tcW w:type="dxa" w:w="1728"/>
            <w:tcMar>
              <w:top w:w="60" w:type="dxa"/>
              <w:bottom w:w="60" w:type="dxa"/>
              <w:left w:w="100" w:type="dxa"/>
              <w:right w:w="100" w:type="dxa"/>
            </w:tcMar>
          </w:tcPr>
          <w:p>
            <w:pPr>
              <w:spacing w:line="276" w:lineRule="auto"/>
              <w:jc w:val="center"/>
            </w:pPr>
            <w:r>
              <w:rPr>
                <w:sz w:val="19"/>
              </w:rPr>
              <w:t>4.9</w:t>
            </w:r>
          </w:p>
        </w:tc>
        <w:tc>
          <w:tcPr>
            <w:tcW w:type="dxa" w:w="6480"/>
            <w:tcMar>
              <w:top w:w="60" w:type="dxa"/>
              <w:bottom w:w="60" w:type="dxa"/>
              <w:left w:w="100" w:type="dxa"/>
              <w:right w:w="100" w:type="dxa"/>
            </w:tcMar>
          </w:tcPr>
          <w:p>
            <w:pPr>
              <w:spacing w:line="276" w:lineRule="auto"/>
              <w:jc w:val="left"/>
            </w:pPr>
            <w:r>
              <w:rPr>
                <w:sz w:val="19"/>
              </w:rPr>
              <w:t>Interactive Multi-Precedent Comparison Matrix &amp; Concordance Tray</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Cryptographic Audit Ledger Inspector with Hash-Chained Verification</w:t>
            </w:r>
          </w:p>
        </w:tc>
        <w:tc>
          <w:tcPr>
            <w:tcW w:type="dxa" w:w="1152"/>
            <w:tcMar>
              <w:top w:w="60" w:type="dxa"/>
              <w:bottom w:w="60" w:type="dxa"/>
              <w:left w:w="100" w:type="dxa"/>
              <w:right w:w="100" w:type="dxa"/>
            </w:tcMar>
          </w:tcPr>
          <w:p>
            <w:pPr>
              <w:spacing w:line="276" w:lineRule="auto"/>
              <w:jc w:val="center"/>
            </w:pPr>
            <w:r>
              <w:rPr>
                <w:sz w:val="19"/>
              </w:rPr>
              <w:t>47</w:t>
            </w:r>
          </w:p>
        </w:tc>
      </w:tr>
    </w:tbl>
    <w:p>
      <w:r>
        <w:br w:type="page"/>
      </w:r>
    </w:p>
    <w:p>
      <w:pPr>
        <w:spacing w:after="360"/>
        <w:jc w:val="center"/>
      </w:pPr>
      <w:r>
        <w:rPr>
          <w:b/>
          <w:sz w:val="28"/>
        </w:rPr>
        <w:t>LIST OF ABBREVIATIONS</w:t>
      </w:r>
    </w:p>
    <w:tbl>
      <w:tblPr>
        <w:tblW w:type="auto" w:w="0"/>
        <w:jc w:val="center"/>
        <w:tblLook w:firstColumn="1" w:firstRow="1" w:lastColumn="0" w:lastRow="0" w:noHBand="0" w:noVBand="1" w:val="04A0"/>
      </w:tblPr>
      <w:tblGrid>
        <w:gridCol w:w="2880"/>
        <w:gridCol w:w="6480"/>
      </w:tblGrid>
      <w:tr>
        <w:tc>
          <w:tcPr>
            <w:tcW w:type="dxa" w:w="4500"/>
            <w:tcMar>
              <w:top w:w="100" w:type="dxa"/>
              <w:bottom w:w="100" w:type="dxa"/>
              <w:left w:w="100" w:type="dxa"/>
              <w:right w:w="100" w:type="dxa"/>
            </w:tcMar>
            <w:shd w:fill="E0E7FF"/>
          </w:tcPr>
          <w:p>
            <w:pPr>
              <w:jc w:val="center"/>
            </w:pPr>
            <w:r>
              <w:rPr>
                <w:b/>
                <w:sz w:val="21"/>
              </w:rPr>
              <w:t>ABBREVIATION</w:t>
            </w:r>
          </w:p>
        </w:tc>
        <w:tc>
          <w:tcPr>
            <w:tcW w:type="dxa" w:w="4500"/>
            <w:tcMar>
              <w:top w:w="100" w:type="dxa"/>
              <w:bottom w:w="100" w:type="dxa"/>
              <w:left w:w="100" w:type="dxa"/>
              <w:right w:w="100" w:type="dxa"/>
            </w:tcMar>
            <w:shd w:fill="E0E7FF"/>
          </w:tcPr>
          <w:p>
            <w:pPr>
              <w:jc w:val="center"/>
            </w:pPr>
            <w:r>
              <w:rPr>
                <w:b/>
                <w:sz w:val="21"/>
              </w:rPr>
              <w:t>EXPANSION</w:t>
            </w:r>
          </w:p>
        </w:tc>
      </w:tr>
      <w:tr>
        <w:tc>
          <w:tcPr>
            <w:tcW w:type="dxa" w:w="2880"/>
            <w:tcMar>
              <w:top w:w="60" w:type="dxa"/>
              <w:bottom w:w="60" w:type="dxa"/>
              <w:left w:w="100" w:type="dxa"/>
              <w:right w:w="100" w:type="dxa"/>
            </w:tcMar>
          </w:tcPr>
          <w:p>
            <w:pPr>
              <w:spacing w:line="276" w:lineRule="auto"/>
              <w:jc w:val="left"/>
            </w:pPr>
            <w:r>
              <w:rPr>
                <w:b/>
                <w:sz w:val="19"/>
              </w:rPr>
              <w:t>AI</w:t>
            </w:r>
          </w:p>
        </w:tc>
        <w:tc>
          <w:tcPr>
            <w:tcW w:type="dxa" w:w="6480"/>
            <w:tcMar>
              <w:top w:w="60" w:type="dxa"/>
              <w:bottom w:w="60" w:type="dxa"/>
              <w:left w:w="100" w:type="dxa"/>
              <w:right w:w="100" w:type="dxa"/>
            </w:tcMar>
          </w:tcPr>
          <w:p>
            <w:pPr>
              <w:spacing w:line="276" w:lineRule="auto"/>
              <w:jc w:val="left"/>
            </w:pPr>
            <w:r>
              <w:rPr>
                <w:sz w:val="19"/>
              </w:rPr>
              <w:t>Artificial Intelligence</w:t>
            </w:r>
          </w:p>
        </w:tc>
      </w:tr>
      <w:tr>
        <w:tc>
          <w:tcPr>
            <w:tcW w:type="dxa" w:w="2880"/>
            <w:tcMar>
              <w:top w:w="60" w:type="dxa"/>
              <w:bottom w:w="60" w:type="dxa"/>
              <w:left w:w="100" w:type="dxa"/>
              <w:right w:w="100" w:type="dxa"/>
            </w:tcMar>
          </w:tcPr>
          <w:p>
            <w:pPr>
              <w:spacing w:line="276" w:lineRule="auto"/>
              <w:jc w:val="left"/>
            </w:pPr>
            <w:r>
              <w:rPr>
                <w:b/>
                <w:sz w:val="19"/>
              </w:rPr>
              <w:t>API</w:t>
            </w:r>
          </w:p>
        </w:tc>
        <w:tc>
          <w:tcPr>
            <w:tcW w:type="dxa" w:w="6480"/>
            <w:tcMar>
              <w:top w:w="60" w:type="dxa"/>
              <w:bottom w:w="60" w:type="dxa"/>
              <w:left w:w="100" w:type="dxa"/>
              <w:right w:w="100" w:type="dxa"/>
            </w:tcMar>
          </w:tcPr>
          <w:p>
            <w:pPr>
              <w:spacing w:line="276" w:lineRule="auto"/>
              <w:jc w:val="left"/>
            </w:pPr>
            <w:r>
              <w:rPr>
                <w:sz w:val="19"/>
              </w:rPr>
              <w:t>Application Programming Interface</w:t>
            </w:r>
          </w:p>
        </w:tc>
      </w:tr>
      <w:tr>
        <w:tc>
          <w:tcPr>
            <w:tcW w:type="dxa" w:w="2880"/>
            <w:tcMar>
              <w:top w:w="60" w:type="dxa"/>
              <w:bottom w:w="60" w:type="dxa"/>
              <w:left w:w="100" w:type="dxa"/>
              <w:right w:w="100" w:type="dxa"/>
            </w:tcMar>
          </w:tcPr>
          <w:p>
            <w:pPr>
              <w:spacing w:line="276" w:lineRule="auto"/>
              <w:jc w:val="left"/>
            </w:pPr>
            <w:r>
              <w:rPr>
                <w:b/>
                <w:sz w:val="19"/>
              </w:rPr>
              <w:t>BNS</w:t>
            </w:r>
          </w:p>
        </w:tc>
        <w:tc>
          <w:tcPr>
            <w:tcW w:type="dxa" w:w="6480"/>
            <w:tcMar>
              <w:top w:w="60" w:type="dxa"/>
              <w:bottom w:w="60" w:type="dxa"/>
              <w:left w:w="100" w:type="dxa"/>
              <w:right w:w="100" w:type="dxa"/>
            </w:tcMar>
          </w:tcPr>
          <w:p>
            <w:pPr>
              <w:spacing w:line="276" w:lineRule="auto"/>
              <w:jc w:val="left"/>
            </w:pPr>
            <w:r>
              <w:rPr>
                <w:sz w:val="19"/>
              </w:rPr>
              <w:t>Bharatiya Nyaya Sanhita, 2023</w:t>
            </w:r>
          </w:p>
        </w:tc>
      </w:tr>
      <w:tr>
        <w:tc>
          <w:tcPr>
            <w:tcW w:type="dxa" w:w="2880"/>
            <w:tcMar>
              <w:top w:w="60" w:type="dxa"/>
              <w:bottom w:w="60" w:type="dxa"/>
              <w:left w:w="100" w:type="dxa"/>
              <w:right w:w="100" w:type="dxa"/>
            </w:tcMar>
          </w:tcPr>
          <w:p>
            <w:pPr>
              <w:spacing w:line="276" w:lineRule="auto"/>
              <w:jc w:val="left"/>
            </w:pPr>
            <w:r>
              <w:rPr>
                <w:b/>
                <w:sz w:val="19"/>
              </w:rPr>
              <w:t>BNSS</w:t>
            </w:r>
          </w:p>
        </w:tc>
        <w:tc>
          <w:tcPr>
            <w:tcW w:type="dxa" w:w="6480"/>
            <w:tcMar>
              <w:top w:w="60" w:type="dxa"/>
              <w:bottom w:w="60" w:type="dxa"/>
              <w:left w:w="100" w:type="dxa"/>
              <w:right w:w="100" w:type="dxa"/>
            </w:tcMar>
          </w:tcPr>
          <w:p>
            <w:pPr>
              <w:spacing w:line="276" w:lineRule="auto"/>
              <w:jc w:val="left"/>
            </w:pPr>
            <w:r>
              <w:rPr>
                <w:sz w:val="19"/>
              </w:rPr>
              <w:t>Bharatiya Nagarik Suraksha Sanhita, 2023</w:t>
            </w:r>
          </w:p>
        </w:tc>
      </w:tr>
      <w:tr>
        <w:tc>
          <w:tcPr>
            <w:tcW w:type="dxa" w:w="2880"/>
            <w:tcMar>
              <w:top w:w="60" w:type="dxa"/>
              <w:bottom w:w="60" w:type="dxa"/>
              <w:left w:w="100" w:type="dxa"/>
              <w:right w:w="100" w:type="dxa"/>
            </w:tcMar>
          </w:tcPr>
          <w:p>
            <w:pPr>
              <w:spacing w:line="276" w:lineRule="auto"/>
              <w:jc w:val="left"/>
            </w:pPr>
            <w:r>
              <w:rPr>
                <w:b/>
                <w:sz w:val="19"/>
              </w:rPr>
              <w:t>BSA</w:t>
            </w:r>
          </w:p>
        </w:tc>
        <w:tc>
          <w:tcPr>
            <w:tcW w:type="dxa" w:w="6480"/>
            <w:tcMar>
              <w:top w:w="60" w:type="dxa"/>
              <w:bottom w:w="60" w:type="dxa"/>
              <w:left w:w="100" w:type="dxa"/>
              <w:right w:w="100" w:type="dxa"/>
            </w:tcMar>
          </w:tcPr>
          <w:p>
            <w:pPr>
              <w:spacing w:line="276" w:lineRule="auto"/>
              <w:jc w:val="left"/>
            </w:pPr>
            <w:r>
              <w:rPr>
                <w:sz w:val="19"/>
              </w:rPr>
              <w:t>Bharatiya Sakshya Adhiniyam, 2023</w:t>
            </w:r>
          </w:p>
        </w:tc>
      </w:tr>
      <w:tr>
        <w:tc>
          <w:tcPr>
            <w:tcW w:type="dxa" w:w="2880"/>
            <w:tcMar>
              <w:top w:w="60" w:type="dxa"/>
              <w:bottom w:w="60" w:type="dxa"/>
              <w:left w:w="100" w:type="dxa"/>
              <w:right w:w="100" w:type="dxa"/>
            </w:tcMar>
          </w:tcPr>
          <w:p>
            <w:pPr>
              <w:spacing w:line="276" w:lineRule="auto"/>
              <w:jc w:val="left"/>
            </w:pPr>
            <w:r>
              <w:rPr>
                <w:b/>
                <w:sz w:val="19"/>
              </w:rPr>
              <w:t>CIS</w:t>
            </w:r>
          </w:p>
        </w:tc>
        <w:tc>
          <w:tcPr>
            <w:tcW w:type="dxa" w:w="6480"/>
            <w:tcMar>
              <w:top w:w="60" w:type="dxa"/>
              <w:bottom w:w="60" w:type="dxa"/>
              <w:left w:w="100" w:type="dxa"/>
              <w:right w:w="100" w:type="dxa"/>
            </w:tcMar>
          </w:tcPr>
          <w:p>
            <w:pPr>
              <w:spacing w:line="276" w:lineRule="auto"/>
              <w:jc w:val="left"/>
            </w:pPr>
            <w:r>
              <w:rPr>
                <w:sz w:val="19"/>
              </w:rPr>
              <w:t>Case Information System</w:t>
            </w:r>
          </w:p>
        </w:tc>
      </w:tr>
      <w:tr>
        <w:tc>
          <w:tcPr>
            <w:tcW w:type="dxa" w:w="2880"/>
            <w:tcMar>
              <w:top w:w="60" w:type="dxa"/>
              <w:bottom w:w="60" w:type="dxa"/>
              <w:left w:w="100" w:type="dxa"/>
              <w:right w:w="100" w:type="dxa"/>
            </w:tcMar>
          </w:tcPr>
          <w:p>
            <w:pPr>
              <w:spacing w:line="276" w:lineRule="auto"/>
              <w:jc w:val="left"/>
            </w:pPr>
            <w:r>
              <w:rPr>
                <w:b/>
                <w:sz w:val="19"/>
              </w:rPr>
              <w:t>CNR</w:t>
            </w:r>
          </w:p>
        </w:tc>
        <w:tc>
          <w:tcPr>
            <w:tcW w:type="dxa" w:w="6480"/>
            <w:tcMar>
              <w:top w:w="60" w:type="dxa"/>
              <w:bottom w:w="60" w:type="dxa"/>
              <w:left w:w="100" w:type="dxa"/>
              <w:right w:w="100" w:type="dxa"/>
            </w:tcMar>
          </w:tcPr>
          <w:p>
            <w:pPr>
              <w:spacing w:line="276" w:lineRule="auto"/>
              <w:jc w:val="left"/>
            </w:pPr>
            <w:r>
              <w:rPr>
                <w:sz w:val="19"/>
              </w:rPr>
              <w:t>Case Number Record (16-Digit Alphanumeric Code)</w:t>
            </w:r>
          </w:p>
        </w:tc>
      </w:tr>
      <w:tr>
        <w:tc>
          <w:tcPr>
            <w:tcW w:type="dxa" w:w="2880"/>
            <w:tcMar>
              <w:top w:w="60" w:type="dxa"/>
              <w:bottom w:w="60" w:type="dxa"/>
              <w:left w:w="100" w:type="dxa"/>
              <w:right w:w="100" w:type="dxa"/>
            </w:tcMar>
          </w:tcPr>
          <w:p>
            <w:pPr>
              <w:spacing w:line="276" w:lineRule="auto"/>
              <w:jc w:val="left"/>
            </w:pPr>
            <w:r>
              <w:rPr>
                <w:b/>
                <w:sz w:val="19"/>
              </w:rPr>
              <w:t>Cr.P.C.</w:t>
            </w:r>
          </w:p>
        </w:tc>
        <w:tc>
          <w:tcPr>
            <w:tcW w:type="dxa" w:w="6480"/>
            <w:tcMar>
              <w:top w:w="60" w:type="dxa"/>
              <w:bottom w:w="60" w:type="dxa"/>
              <w:left w:w="100" w:type="dxa"/>
              <w:right w:w="100" w:type="dxa"/>
            </w:tcMar>
          </w:tcPr>
          <w:p>
            <w:pPr>
              <w:spacing w:line="276" w:lineRule="auto"/>
              <w:jc w:val="left"/>
            </w:pPr>
            <w:r>
              <w:rPr>
                <w:sz w:val="19"/>
              </w:rPr>
              <w:t>Code of Criminal Procedure, 1973</w:t>
            </w:r>
          </w:p>
        </w:tc>
      </w:tr>
      <w:tr>
        <w:tc>
          <w:tcPr>
            <w:tcW w:type="dxa" w:w="2880"/>
            <w:tcMar>
              <w:top w:w="60" w:type="dxa"/>
              <w:bottom w:w="60" w:type="dxa"/>
              <w:left w:w="100" w:type="dxa"/>
              <w:right w:w="100" w:type="dxa"/>
            </w:tcMar>
          </w:tcPr>
          <w:p>
            <w:pPr>
              <w:spacing w:line="276" w:lineRule="auto"/>
              <w:jc w:val="left"/>
            </w:pPr>
            <w:r>
              <w:rPr>
                <w:b/>
                <w:sz w:val="19"/>
              </w:rPr>
              <w:t>CSRF</w:t>
            </w:r>
          </w:p>
        </w:tc>
        <w:tc>
          <w:tcPr>
            <w:tcW w:type="dxa" w:w="6480"/>
            <w:tcMar>
              <w:top w:w="60" w:type="dxa"/>
              <w:bottom w:w="60" w:type="dxa"/>
              <w:left w:w="100" w:type="dxa"/>
              <w:right w:w="100" w:type="dxa"/>
            </w:tcMar>
          </w:tcPr>
          <w:p>
            <w:pPr>
              <w:spacing w:line="276" w:lineRule="auto"/>
              <w:jc w:val="left"/>
            </w:pPr>
            <w:r>
              <w:rPr>
                <w:sz w:val="19"/>
              </w:rPr>
              <w:t>Cross-Site Request Forgery</w:t>
            </w:r>
          </w:p>
        </w:tc>
      </w:tr>
      <w:tr>
        <w:tc>
          <w:tcPr>
            <w:tcW w:type="dxa" w:w="2880"/>
            <w:tcMar>
              <w:top w:w="60" w:type="dxa"/>
              <w:bottom w:w="60" w:type="dxa"/>
              <w:left w:w="100" w:type="dxa"/>
              <w:right w:w="100" w:type="dxa"/>
            </w:tcMar>
          </w:tcPr>
          <w:p>
            <w:pPr>
              <w:spacing w:line="276" w:lineRule="auto"/>
              <w:jc w:val="left"/>
            </w:pPr>
            <w:r>
              <w:rPr>
                <w:b/>
                <w:sz w:val="19"/>
              </w:rPr>
              <w:t>DFD</w:t>
            </w:r>
          </w:p>
        </w:tc>
        <w:tc>
          <w:tcPr>
            <w:tcW w:type="dxa" w:w="6480"/>
            <w:tcMar>
              <w:top w:w="60" w:type="dxa"/>
              <w:bottom w:w="60" w:type="dxa"/>
              <w:left w:w="100" w:type="dxa"/>
              <w:right w:w="100" w:type="dxa"/>
            </w:tcMar>
          </w:tcPr>
          <w:p>
            <w:pPr>
              <w:spacing w:line="276" w:lineRule="auto"/>
              <w:jc w:val="left"/>
            </w:pPr>
            <w:r>
              <w:rPr>
                <w:sz w:val="19"/>
              </w:rPr>
              <w:t>Data Flow Diagram</w:t>
            </w:r>
          </w:p>
        </w:tc>
      </w:tr>
      <w:tr>
        <w:tc>
          <w:tcPr>
            <w:tcW w:type="dxa" w:w="2880"/>
            <w:tcMar>
              <w:top w:w="60" w:type="dxa"/>
              <w:bottom w:w="60" w:type="dxa"/>
              <w:left w:w="100" w:type="dxa"/>
              <w:right w:w="100" w:type="dxa"/>
            </w:tcMar>
          </w:tcPr>
          <w:p>
            <w:pPr>
              <w:spacing w:line="276" w:lineRule="auto"/>
              <w:jc w:val="left"/>
            </w:pPr>
            <w:r>
              <w:rPr>
                <w:b/>
                <w:sz w:val="19"/>
              </w:rPr>
              <w:t>ER</w:t>
            </w:r>
          </w:p>
        </w:tc>
        <w:tc>
          <w:tcPr>
            <w:tcW w:type="dxa" w:w="6480"/>
            <w:tcMar>
              <w:top w:w="60" w:type="dxa"/>
              <w:bottom w:w="60" w:type="dxa"/>
              <w:left w:w="100" w:type="dxa"/>
              <w:right w:w="100" w:type="dxa"/>
            </w:tcMar>
          </w:tcPr>
          <w:p>
            <w:pPr>
              <w:spacing w:line="276" w:lineRule="auto"/>
              <w:jc w:val="left"/>
            </w:pPr>
            <w:r>
              <w:rPr>
                <w:sz w:val="19"/>
              </w:rPr>
              <w:t>Entity Relationship</w:t>
            </w:r>
          </w:p>
        </w:tc>
      </w:tr>
      <w:tr>
        <w:tc>
          <w:tcPr>
            <w:tcW w:type="dxa" w:w="2880"/>
            <w:tcMar>
              <w:top w:w="60" w:type="dxa"/>
              <w:bottom w:w="60" w:type="dxa"/>
              <w:left w:w="100" w:type="dxa"/>
              <w:right w:w="100" w:type="dxa"/>
            </w:tcMar>
          </w:tcPr>
          <w:p>
            <w:pPr>
              <w:spacing w:line="276" w:lineRule="auto"/>
              <w:jc w:val="left"/>
            </w:pPr>
            <w:r>
              <w:rPr>
                <w:b/>
                <w:sz w:val="19"/>
              </w:rPr>
              <w:t>FOSS</w:t>
            </w:r>
          </w:p>
        </w:tc>
        <w:tc>
          <w:tcPr>
            <w:tcW w:type="dxa" w:w="6480"/>
            <w:tcMar>
              <w:top w:w="60" w:type="dxa"/>
              <w:bottom w:w="60" w:type="dxa"/>
              <w:left w:w="100" w:type="dxa"/>
              <w:right w:w="100" w:type="dxa"/>
            </w:tcMar>
          </w:tcPr>
          <w:p>
            <w:pPr>
              <w:spacing w:line="276" w:lineRule="auto"/>
              <w:jc w:val="left"/>
            </w:pPr>
            <w:r>
              <w:rPr>
                <w:sz w:val="19"/>
              </w:rPr>
              <w:t>Free and Open Source Software</w:t>
            </w:r>
          </w:p>
        </w:tc>
      </w:tr>
      <w:tr>
        <w:tc>
          <w:tcPr>
            <w:tcW w:type="dxa" w:w="2880"/>
            <w:tcMar>
              <w:top w:w="60" w:type="dxa"/>
              <w:bottom w:w="60" w:type="dxa"/>
              <w:left w:w="100" w:type="dxa"/>
              <w:right w:w="100" w:type="dxa"/>
            </w:tcMar>
          </w:tcPr>
          <w:p>
            <w:pPr>
              <w:spacing w:line="276" w:lineRule="auto"/>
              <w:jc w:val="left"/>
            </w:pPr>
            <w:r>
              <w:rPr>
                <w:b/>
                <w:sz w:val="19"/>
              </w:rPr>
              <w:t>IPC</w:t>
            </w:r>
          </w:p>
        </w:tc>
        <w:tc>
          <w:tcPr>
            <w:tcW w:type="dxa" w:w="6480"/>
            <w:tcMar>
              <w:top w:w="60" w:type="dxa"/>
              <w:bottom w:w="60" w:type="dxa"/>
              <w:left w:w="100" w:type="dxa"/>
              <w:right w:w="100" w:type="dxa"/>
            </w:tcMar>
          </w:tcPr>
          <w:p>
            <w:pPr>
              <w:spacing w:line="276" w:lineRule="auto"/>
              <w:jc w:val="left"/>
            </w:pPr>
            <w:r>
              <w:rPr>
                <w:sz w:val="19"/>
              </w:rPr>
              <w:t>Indian Penal Code, 1860</w:t>
            </w:r>
          </w:p>
        </w:tc>
      </w:tr>
      <w:tr>
        <w:tc>
          <w:tcPr>
            <w:tcW w:type="dxa" w:w="2880"/>
            <w:tcMar>
              <w:top w:w="60" w:type="dxa"/>
              <w:bottom w:w="60" w:type="dxa"/>
              <w:left w:w="100" w:type="dxa"/>
              <w:right w:w="100" w:type="dxa"/>
            </w:tcMar>
          </w:tcPr>
          <w:p>
            <w:pPr>
              <w:spacing w:line="276" w:lineRule="auto"/>
              <w:jc w:val="left"/>
            </w:pPr>
            <w:r>
              <w:rPr>
                <w:b/>
                <w:sz w:val="19"/>
              </w:rPr>
              <w:t>JWT</w:t>
            </w:r>
          </w:p>
        </w:tc>
        <w:tc>
          <w:tcPr>
            <w:tcW w:type="dxa" w:w="6480"/>
            <w:tcMar>
              <w:top w:w="60" w:type="dxa"/>
              <w:bottom w:w="60" w:type="dxa"/>
              <w:left w:w="100" w:type="dxa"/>
              <w:right w:w="100" w:type="dxa"/>
            </w:tcMar>
          </w:tcPr>
          <w:p>
            <w:pPr>
              <w:spacing w:line="276" w:lineRule="auto"/>
              <w:jc w:val="left"/>
            </w:pPr>
            <w:r>
              <w:rPr>
                <w:sz w:val="19"/>
              </w:rPr>
              <w:t>JSON Web Token</w:t>
            </w:r>
          </w:p>
        </w:tc>
      </w:tr>
      <w:tr>
        <w:tc>
          <w:tcPr>
            <w:tcW w:type="dxa" w:w="2880"/>
            <w:tcMar>
              <w:top w:w="60" w:type="dxa"/>
              <w:bottom w:w="60" w:type="dxa"/>
              <w:left w:w="100" w:type="dxa"/>
              <w:right w:w="100" w:type="dxa"/>
            </w:tcMar>
          </w:tcPr>
          <w:p>
            <w:pPr>
              <w:spacing w:line="276" w:lineRule="auto"/>
              <w:jc w:val="left"/>
            </w:pPr>
            <w:r>
              <w:rPr>
                <w:b/>
                <w:sz w:val="19"/>
              </w:rPr>
              <w:t>NER</w:t>
            </w:r>
          </w:p>
        </w:tc>
        <w:tc>
          <w:tcPr>
            <w:tcW w:type="dxa" w:w="6480"/>
            <w:tcMar>
              <w:top w:w="60" w:type="dxa"/>
              <w:bottom w:w="60" w:type="dxa"/>
              <w:left w:w="100" w:type="dxa"/>
              <w:right w:w="100" w:type="dxa"/>
            </w:tcMar>
          </w:tcPr>
          <w:p>
            <w:pPr>
              <w:spacing w:line="276" w:lineRule="auto"/>
              <w:jc w:val="left"/>
            </w:pPr>
            <w:r>
              <w:rPr>
                <w:sz w:val="19"/>
              </w:rPr>
              <w:t>Named Entity Recognition</w:t>
            </w:r>
          </w:p>
        </w:tc>
      </w:tr>
      <w:tr>
        <w:tc>
          <w:tcPr>
            <w:tcW w:type="dxa" w:w="2880"/>
            <w:tcMar>
              <w:top w:w="60" w:type="dxa"/>
              <w:bottom w:w="60" w:type="dxa"/>
              <w:left w:w="100" w:type="dxa"/>
              <w:right w:w="100" w:type="dxa"/>
            </w:tcMar>
          </w:tcPr>
          <w:p>
            <w:pPr>
              <w:spacing w:line="276" w:lineRule="auto"/>
              <w:jc w:val="left"/>
            </w:pPr>
            <w:r>
              <w:rPr>
                <w:b/>
                <w:sz w:val="19"/>
              </w:rPr>
              <w:t>NI Act</w:t>
            </w:r>
          </w:p>
        </w:tc>
        <w:tc>
          <w:tcPr>
            <w:tcW w:type="dxa" w:w="6480"/>
            <w:tcMar>
              <w:top w:w="60" w:type="dxa"/>
              <w:bottom w:w="60" w:type="dxa"/>
              <w:left w:w="100" w:type="dxa"/>
              <w:right w:w="100" w:type="dxa"/>
            </w:tcMar>
          </w:tcPr>
          <w:p>
            <w:pPr>
              <w:spacing w:line="276" w:lineRule="auto"/>
              <w:jc w:val="left"/>
            </w:pPr>
            <w:r>
              <w:rPr>
                <w:sz w:val="19"/>
              </w:rPr>
              <w:t>Negotiable Instruments Act, 1881</w:t>
            </w:r>
          </w:p>
        </w:tc>
      </w:tr>
      <w:tr>
        <w:tc>
          <w:tcPr>
            <w:tcW w:type="dxa" w:w="2880"/>
            <w:tcMar>
              <w:top w:w="60" w:type="dxa"/>
              <w:bottom w:w="60" w:type="dxa"/>
              <w:left w:w="100" w:type="dxa"/>
              <w:right w:w="100" w:type="dxa"/>
            </w:tcMar>
          </w:tcPr>
          <w:p>
            <w:pPr>
              <w:spacing w:line="276" w:lineRule="auto"/>
              <w:jc w:val="left"/>
            </w:pPr>
            <w:r>
              <w:rPr>
                <w:b/>
                <w:sz w:val="19"/>
              </w:rPr>
              <w:t>NLP</w:t>
            </w:r>
          </w:p>
        </w:tc>
        <w:tc>
          <w:tcPr>
            <w:tcW w:type="dxa" w:w="6480"/>
            <w:tcMar>
              <w:top w:w="60" w:type="dxa"/>
              <w:bottom w:w="60" w:type="dxa"/>
              <w:left w:w="100" w:type="dxa"/>
              <w:right w:w="100" w:type="dxa"/>
            </w:tcMar>
          </w:tcPr>
          <w:p>
            <w:pPr>
              <w:spacing w:line="276" w:lineRule="auto"/>
              <w:jc w:val="left"/>
            </w:pPr>
            <w:r>
              <w:rPr>
                <w:sz w:val="19"/>
              </w:rPr>
              <w:t>Natural Language Processing</w:t>
            </w:r>
          </w:p>
        </w:tc>
      </w:tr>
      <w:tr>
        <w:tc>
          <w:tcPr>
            <w:tcW w:type="dxa" w:w="2880"/>
            <w:tcMar>
              <w:top w:w="60" w:type="dxa"/>
              <w:bottom w:w="60" w:type="dxa"/>
              <w:left w:w="100" w:type="dxa"/>
              <w:right w:w="100" w:type="dxa"/>
            </w:tcMar>
          </w:tcPr>
          <w:p>
            <w:pPr>
              <w:spacing w:line="276" w:lineRule="auto"/>
              <w:jc w:val="left"/>
            </w:pPr>
            <w:r>
              <w:rPr>
                <w:b/>
                <w:sz w:val="19"/>
              </w:rPr>
              <w:t>OWASP</w:t>
            </w:r>
          </w:p>
        </w:tc>
        <w:tc>
          <w:tcPr>
            <w:tcW w:type="dxa" w:w="6480"/>
            <w:tcMar>
              <w:top w:w="60" w:type="dxa"/>
              <w:bottom w:w="60" w:type="dxa"/>
              <w:left w:w="100" w:type="dxa"/>
              <w:right w:w="100" w:type="dxa"/>
            </w:tcMar>
          </w:tcPr>
          <w:p>
            <w:pPr>
              <w:spacing w:line="276" w:lineRule="auto"/>
              <w:jc w:val="left"/>
            </w:pPr>
            <w:r>
              <w:rPr>
                <w:sz w:val="19"/>
              </w:rPr>
              <w:t>Open Worldwide Application Security Project</w:t>
            </w:r>
          </w:p>
        </w:tc>
      </w:tr>
      <w:tr>
        <w:tc>
          <w:tcPr>
            <w:tcW w:type="dxa" w:w="2880"/>
            <w:tcMar>
              <w:top w:w="60" w:type="dxa"/>
              <w:bottom w:w="60" w:type="dxa"/>
              <w:left w:w="100" w:type="dxa"/>
              <w:right w:w="100" w:type="dxa"/>
            </w:tcMar>
          </w:tcPr>
          <w:p>
            <w:pPr>
              <w:spacing w:line="276" w:lineRule="auto"/>
              <w:jc w:val="left"/>
            </w:pPr>
            <w:r>
              <w:rPr>
                <w:b/>
                <w:sz w:val="19"/>
              </w:rPr>
              <w:t>PDF</w:t>
            </w:r>
          </w:p>
        </w:tc>
        <w:tc>
          <w:tcPr>
            <w:tcW w:type="dxa" w:w="6480"/>
            <w:tcMar>
              <w:top w:w="60" w:type="dxa"/>
              <w:bottom w:w="60" w:type="dxa"/>
              <w:left w:w="100" w:type="dxa"/>
              <w:right w:w="100" w:type="dxa"/>
            </w:tcMar>
          </w:tcPr>
          <w:p>
            <w:pPr>
              <w:spacing w:line="276" w:lineRule="auto"/>
              <w:jc w:val="left"/>
            </w:pPr>
            <w:r>
              <w:rPr>
                <w:sz w:val="19"/>
              </w:rPr>
              <w:t>Portable Document Format</w:t>
            </w:r>
          </w:p>
        </w:tc>
      </w:tr>
      <w:tr>
        <w:tc>
          <w:tcPr>
            <w:tcW w:type="dxa" w:w="2880"/>
            <w:tcMar>
              <w:top w:w="60" w:type="dxa"/>
              <w:bottom w:w="60" w:type="dxa"/>
              <w:left w:w="100" w:type="dxa"/>
              <w:right w:w="100" w:type="dxa"/>
            </w:tcMar>
          </w:tcPr>
          <w:p>
            <w:pPr>
              <w:spacing w:line="276" w:lineRule="auto"/>
              <w:jc w:val="left"/>
            </w:pPr>
            <w:r>
              <w:rPr>
                <w:b/>
                <w:sz w:val="19"/>
              </w:rPr>
              <w:t>RBAC</w:t>
            </w:r>
          </w:p>
        </w:tc>
        <w:tc>
          <w:tcPr>
            <w:tcW w:type="dxa" w:w="6480"/>
            <w:tcMar>
              <w:top w:w="60" w:type="dxa"/>
              <w:bottom w:w="60" w:type="dxa"/>
              <w:left w:w="100" w:type="dxa"/>
              <w:right w:w="100" w:type="dxa"/>
            </w:tcMar>
          </w:tcPr>
          <w:p>
            <w:pPr>
              <w:spacing w:line="276" w:lineRule="auto"/>
              <w:jc w:val="left"/>
            </w:pPr>
            <w:r>
              <w:rPr>
                <w:sz w:val="19"/>
              </w:rPr>
              <w:t>Role-Based Access Control</w:t>
            </w:r>
          </w:p>
        </w:tc>
      </w:tr>
      <w:tr>
        <w:tc>
          <w:tcPr>
            <w:tcW w:type="dxa" w:w="2880"/>
            <w:tcMar>
              <w:top w:w="60" w:type="dxa"/>
              <w:bottom w:w="60" w:type="dxa"/>
              <w:left w:w="100" w:type="dxa"/>
              <w:right w:w="100" w:type="dxa"/>
            </w:tcMar>
          </w:tcPr>
          <w:p>
            <w:pPr>
              <w:spacing w:line="276" w:lineRule="auto"/>
              <w:jc w:val="left"/>
            </w:pPr>
            <w:r>
              <w:rPr>
                <w:b/>
                <w:sz w:val="19"/>
              </w:rPr>
              <w:t>RRF</w:t>
            </w:r>
          </w:p>
        </w:tc>
        <w:tc>
          <w:tcPr>
            <w:tcW w:type="dxa" w:w="6480"/>
            <w:tcMar>
              <w:top w:w="60" w:type="dxa"/>
              <w:bottom w:w="60" w:type="dxa"/>
              <w:left w:w="100" w:type="dxa"/>
              <w:right w:w="100" w:type="dxa"/>
            </w:tcMar>
          </w:tcPr>
          <w:p>
            <w:pPr>
              <w:spacing w:line="276" w:lineRule="auto"/>
              <w:jc w:val="left"/>
            </w:pPr>
            <w:r>
              <w:rPr>
                <w:sz w:val="19"/>
              </w:rPr>
              <w:t>Reciprocal Rank Fusion</w:t>
            </w:r>
          </w:p>
        </w:tc>
      </w:tr>
      <w:tr>
        <w:tc>
          <w:tcPr>
            <w:tcW w:type="dxa" w:w="2880"/>
            <w:tcMar>
              <w:top w:w="60" w:type="dxa"/>
              <w:bottom w:w="60" w:type="dxa"/>
              <w:left w:w="100" w:type="dxa"/>
              <w:right w:w="100" w:type="dxa"/>
            </w:tcMar>
          </w:tcPr>
          <w:p>
            <w:pPr>
              <w:spacing w:line="276" w:lineRule="auto"/>
              <w:jc w:val="left"/>
            </w:pPr>
            <w:r>
              <w:rPr>
                <w:b/>
                <w:sz w:val="19"/>
              </w:rPr>
              <w:t>SDG</w:t>
            </w:r>
          </w:p>
        </w:tc>
        <w:tc>
          <w:tcPr>
            <w:tcW w:type="dxa" w:w="6480"/>
            <w:tcMar>
              <w:top w:w="60" w:type="dxa"/>
              <w:bottom w:w="60" w:type="dxa"/>
              <w:left w:w="100" w:type="dxa"/>
              <w:right w:w="100" w:type="dxa"/>
            </w:tcMar>
          </w:tcPr>
          <w:p>
            <w:pPr>
              <w:spacing w:line="276" w:lineRule="auto"/>
              <w:jc w:val="left"/>
            </w:pPr>
            <w:r>
              <w:rPr>
                <w:sz w:val="19"/>
              </w:rPr>
              <w:t>Sustainable Development Goal</w:t>
            </w:r>
          </w:p>
        </w:tc>
      </w:tr>
      <w:tr>
        <w:tc>
          <w:tcPr>
            <w:tcW w:type="dxa" w:w="2880"/>
            <w:tcMar>
              <w:top w:w="60" w:type="dxa"/>
              <w:bottom w:w="60" w:type="dxa"/>
              <w:left w:w="100" w:type="dxa"/>
              <w:right w:w="100" w:type="dxa"/>
            </w:tcMar>
          </w:tcPr>
          <w:p>
            <w:pPr>
              <w:spacing w:line="276" w:lineRule="auto"/>
              <w:jc w:val="left"/>
            </w:pPr>
            <w:r>
              <w:rPr>
                <w:b/>
                <w:sz w:val="19"/>
              </w:rPr>
              <w:t>SHA-256</w:t>
            </w:r>
          </w:p>
        </w:tc>
        <w:tc>
          <w:tcPr>
            <w:tcW w:type="dxa" w:w="6480"/>
            <w:tcMar>
              <w:top w:w="60" w:type="dxa"/>
              <w:bottom w:w="60" w:type="dxa"/>
              <w:left w:w="100" w:type="dxa"/>
              <w:right w:w="100" w:type="dxa"/>
            </w:tcMar>
          </w:tcPr>
          <w:p>
            <w:pPr>
              <w:spacing w:line="276" w:lineRule="auto"/>
              <w:jc w:val="left"/>
            </w:pPr>
            <w:r>
              <w:rPr>
                <w:sz w:val="19"/>
              </w:rPr>
              <w:t>Secure Hash Algorithm (256-bit)</w:t>
            </w:r>
          </w:p>
        </w:tc>
      </w:tr>
      <w:tr>
        <w:tc>
          <w:tcPr>
            <w:tcW w:type="dxa" w:w="2880"/>
            <w:tcMar>
              <w:top w:w="60" w:type="dxa"/>
              <w:bottom w:w="60" w:type="dxa"/>
              <w:left w:w="100" w:type="dxa"/>
              <w:right w:w="100" w:type="dxa"/>
            </w:tcMar>
          </w:tcPr>
          <w:p>
            <w:pPr>
              <w:spacing w:line="276" w:lineRule="auto"/>
              <w:jc w:val="left"/>
            </w:pPr>
            <w:r>
              <w:rPr>
                <w:b/>
                <w:sz w:val="19"/>
              </w:rPr>
              <w:t>SRS</w:t>
            </w:r>
          </w:p>
        </w:tc>
        <w:tc>
          <w:tcPr>
            <w:tcW w:type="dxa" w:w="6480"/>
            <w:tcMar>
              <w:top w:w="60" w:type="dxa"/>
              <w:bottom w:w="60" w:type="dxa"/>
              <w:left w:w="100" w:type="dxa"/>
              <w:right w:w="100" w:type="dxa"/>
            </w:tcMar>
          </w:tcPr>
          <w:p>
            <w:pPr>
              <w:spacing w:line="276" w:lineRule="auto"/>
              <w:jc w:val="left"/>
            </w:pPr>
            <w:r>
              <w:rPr>
                <w:sz w:val="19"/>
              </w:rPr>
              <w:t>Software Requirements Specification</w:t>
            </w:r>
          </w:p>
        </w:tc>
      </w:tr>
      <w:tr>
        <w:tc>
          <w:tcPr>
            <w:tcW w:type="dxa" w:w="2880"/>
            <w:tcMar>
              <w:top w:w="60" w:type="dxa"/>
              <w:bottom w:w="60" w:type="dxa"/>
              <w:left w:w="100" w:type="dxa"/>
              <w:right w:w="100" w:type="dxa"/>
            </w:tcMar>
          </w:tcPr>
          <w:p>
            <w:pPr>
              <w:spacing w:line="276" w:lineRule="auto"/>
              <w:jc w:val="left"/>
            </w:pPr>
            <w:r>
              <w:rPr>
                <w:b/>
                <w:sz w:val="19"/>
              </w:rPr>
              <w:t>UI</w:t>
            </w:r>
          </w:p>
        </w:tc>
        <w:tc>
          <w:tcPr>
            <w:tcW w:type="dxa" w:w="6480"/>
            <w:tcMar>
              <w:top w:w="60" w:type="dxa"/>
              <w:bottom w:w="60" w:type="dxa"/>
              <w:left w:w="100" w:type="dxa"/>
              <w:right w:w="100" w:type="dxa"/>
            </w:tcMar>
          </w:tcPr>
          <w:p>
            <w:pPr>
              <w:spacing w:line="276" w:lineRule="auto"/>
              <w:jc w:val="left"/>
            </w:pPr>
            <w:r>
              <w:rPr>
                <w:sz w:val="19"/>
              </w:rPr>
              <w:t>User Interface</w:t>
            </w:r>
          </w:p>
        </w:tc>
      </w:tr>
      <w:tr>
        <w:tc>
          <w:tcPr>
            <w:tcW w:type="dxa" w:w="2880"/>
            <w:tcMar>
              <w:top w:w="60" w:type="dxa"/>
              <w:bottom w:w="60" w:type="dxa"/>
              <w:left w:w="100" w:type="dxa"/>
              <w:right w:w="100" w:type="dxa"/>
            </w:tcMar>
          </w:tcPr>
          <w:p>
            <w:pPr>
              <w:spacing w:line="276" w:lineRule="auto"/>
              <w:jc w:val="left"/>
            </w:pPr>
            <w:r>
              <w:rPr>
                <w:b/>
                <w:sz w:val="19"/>
              </w:rPr>
              <w:t>UML</w:t>
            </w:r>
          </w:p>
        </w:tc>
        <w:tc>
          <w:tcPr>
            <w:tcW w:type="dxa" w:w="6480"/>
            <w:tcMar>
              <w:top w:w="60" w:type="dxa"/>
              <w:bottom w:w="60" w:type="dxa"/>
              <w:left w:w="100" w:type="dxa"/>
              <w:right w:w="100" w:type="dxa"/>
            </w:tcMar>
          </w:tcPr>
          <w:p>
            <w:pPr>
              <w:spacing w:line="276" w:lineRule="auto"/>
              <w:jc w:val="left"/>
            </w:pPr>
            <w:r>
              <w:rPr>
                <w:sz w:val="19"/>
              </w:rPr>
              <w:t>Unified Modeling Language</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High Courts like the High Court of Judicature at Madras (Chennai Principal Seat &amp; Madurai Bench)—serve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statutory concordance between pre-existing colonial codes (such as the IPC 1860, Cr.P.C. 1973, Evidence Act 1872) and new enactments like the Bharatiya Nyaya Sanhita (BNS) 2023. Furthermore, digital court documents distributed in PDF formats lack inherent cryptographic tamper-evidence. With unauthorized byte manipulations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8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w:t>
      </w:r>
    </w:p>
    <w:p>
      <w:pPr>
        <w:spacing w:line="360" w:lineRule="auto" w:after="120"/>
        <w:jc w:val="both"/>
      </w:pPr>
      <w:r>
        <w:t>Specifically, Lexguard aims to:</w:t>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strictly in a verified corpus of indexed judicial records.</w:t>
      </w:r>
    </w:p>
    <w:p>
      <w:pPr>
        <w:pStyle w:val="ListBullet"/>
        <w:spacing w:line="360" w:lineRule="auto" w:after="80"/>
        <w:jc w:val="both"/>
      </w:pPr>
      <w:r>
        <w:rPr>
          <w:b/>
        </w:rPr>
        <w:t xml:space="preserve">Provide Mathematical Tamper-Evidence: </w:t>
      </w:r>
      <w:r>
        <w:t>Implement byte-level cryptographic hashing (SHA-256) through both browser Web Crypto API and server-side streaming verification, backed by an immutable 989-block hash-chained audit ledger.</w:t>
      </w:r>
    </w:p>
    <w:p>
      <w:pPr>
        <w:pStyle w:val="ListBullet"/>
        <w:spacing w:line="360" w:lineRule="auto" w:after="80"/>
        <w:jc w:val="both"/>
      </w:pPr>
      <w:r>
        <w:rPr>
          <w:b/>
        </w:rPr>
        <w:t xml:space="preserve">Bridge Natural Language and Legal Nomenclature: </w:t>
      </w:r>
      <w:r>
        <w:t>Enable intuitive natural-language legal search that connects colloquial factual descriptions with precise legal statutes through InLegalBERT dense neural embeddings and Reciprocal Rank Fusion (RRF).</w:t>
      </w:r>
    </w:p>
    <w:p>
      <w:pPr>
        <w:pStyle w:val="ListBullet"/>
        <w:spacing w:line="360" w:lineRule="auto" w:after="80"/>
        <w:jc w:val="both"/>
      </w:pPr>
      <w:r>
        <w:rPr>
          <w:b/>
        </w:rPr>
        <w:t xml:space="preserve">Automate Statutory Concordance: </w:t>
      </w:r>
      <w:r>
        <w:t>Provide real-time bidirectional concordance mapping between legacy statutes (IPC, Cr.P.C., Evidence Act) and newly implemented criminal laws (BNS 2023, BNSS 2023, BSA 2023).</w:t>
      </w:r>
    </w:p>
    <w:p>
      <w:pPr>
        <w:pStyle w:val="ListBullet"/>
        <w:spacing w:line="360" w:lineRule="auto" w:after="80"/>
        <w:jc w:val="both"/>
      </w:pPr>
      <w:r>
        <w:rPr>
          <w:b/>
        </w:rPr>
        <w:t xml:space="preserve">Streamline Court Review Workflows: </w:t>
      </w:r>
      <w:r>
        <w:t>Provide senior court registries with a dedicated Case Information System (CIS) review workstation, automated Named Entity Recognition (NER), and live tamper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10-Service High Court authorized portal (CNR Lookup, Precedent Hybrid Search, Acts Concordance Explorer, Tamper Verification Engine, Precedent Comparator, Staff CIS Review Workstation, AI Judgment Draft Studio, Madras HC Daily Cause List Tracker, Cryptographic Audit Register, and Case Ingestion Desk).</w:t>
      </w:r>
    </w:p>
    <w:p>
      <w:pPr>
        <w:pStyle w:val="ListBullet"/>
        <w:spacing w:line="360" w:lineRule="auto" w:after="80"/>
        <w:jc w:val="both"/>
      </w:pPr>
      <w:r>
        <w:t>A zero-build frontend client engineered with Pure HTML5, Bootstrap 5, jQuery, Chart.js, and PDF.js, eliminating node_modules and webpack overhead while executing directly from any web browser.</w:t>
      </w:r>
    </w:p>
    <w:p>
      <w:pPr>
        <w:pStyle w:val="ListBullet"/>
        <w:spacing w:line="360" w:lineRule="auto" w:after="80"/>
        <w:jc w:val="both"/>
      </w:pPr>
      <w:r>
        <w:t>A zero-trust document ingestion engine that extracts legal metadata via PyMuPDF and Named Entity Recognition (NER), prevents duplicate uploads via SHA-256 digests, and queues cases for senior registrar review.</w:t>
      </w:r>
    </w:p>
    <w:p>
      <w:pPr>
        <w:pStyle w:val="ListBullet"/>
        <w:spacing w:line="360" w:lineRule="auto" w:after="80"/>
        <w:jc w:val="both"/>
      </w:pPr>
      <w:r>
        <w:t>An immutable, sequentially linked cryptographic audit ledger holding 989 verifiable blocks with SHA-256 linking, preventing retroactive modification of administrative logs.</w:t>
      </w:r>
    </w:p>
    <w:p>
      <w:pPr>
        <w:pStyle w:val="ListBullet"/>
        <w:spacing w:line="360" w:lineRule="auto" w:after="80"/>
        <w:jc w:val="both"/>
      </w:pPr>
      <w:r>
        <w:t>A hybrid precedent search engine combining dense InLegalBERT sentence embeddings with PostgreSQL 17 full-text search via Reciprocal Rank Fusion, indexing 208 landmark and High Court judgments.</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Dual-Layer Cryptographic Verification: </w:t>
      </w:r>
      <w:r>
        <w:t>Design and implement a client-side Web Crypto API hasher and server-side streaming SHA-256 pipeline capable of calculating 256-bit cryptographic fingerprints in under 150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scaling to 989+ verified ledger records.</w:t>
      </w:r>
    </w:p>
    <w:p>
      <w:pPr>
        <w:pStyle w:val="ListBullet"/>
        <w:spacing w:line="360" w:lineRule="auto" w:after="80"/>
        <w:jc w:val="both"/>
      </w:pPr>
      <w:r>
        <w:rPr>
          <w:b/>
        </w:rPr>
        <w:t xml:space="preserve">Domain-Specific Hybrid Search &amp; RRF: </w:t>
      </w:r>
      <w:r>
        <w:t>Formulate Reciprocal Rank Fusion (RRF) blending dense InLegalBERT embeddings with PostgreSQL tsvector full-text indices for precision legal precedent ranking across 208 judgments.</w:t>
      </w:r>
    </w:p>
    <w:p>
      <w:pPr>
        <w:pStyle w:val="ListBullet"/>
        <w:spacing w:line="360" w:lineRule="auto" w:after="80"/>
        <w:jc w:val="both"/>
      </w:pPr>
      <w:r>
        <w:rPr>
          <w:b/>
        </w:rPr>
        <w:t xml:space="preserve">Statutory Concordance Engine: </w:t>
      </w:r>
      <w:r>
        <w:t>Build an automated concordance mapper linking historical IPC and Cr.P.C. provisions directly to corresponding sections in the Bharatiya Nyaya Sanhita (BNS) 2023 and BNSS 2023.</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High Court Design System &amp; Hardened Security: </w:t>
      </w:r>
      <w:r>
        <w:t>Implement the authentic High Court Crimson (#991b1b) and Slate design palette alongside OWASP Top 10 defenses (HttpOnly SameSite=Lax JWT cookies, Double-Submit CSRF tokens, and Content-Security-Policy).</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modified, and check petitions against BNS 2023 concordance.</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without built-in mathematical validation. Furthermore, the Indian legal system's historic transition from the Indian Penal Code 1860 and Cr.P.C. 1973 to the Bharatiya Nyaya Sanhita (BNS) 2023 and Bharatiya Nagarik Suraksha Sanhita (BNSS) 2023 has generated widespread confusion, as legacy search systems lack concordance mapping. In parallel, with the surge of commercial Generative AI assistants, legal practitioners frequently copy draft pleadings into public generative models, unwittingly exposing confidential client data while relying on unchecked, hallucinated citations.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alters dates, monetary penalties, or operative acquittal/conviction paragraphs, neither the advocate nor the bench has an instant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&amp; Absence of Concordance: </w:t>
      </w:r>
      <w:r>
        <w:t>Literal keyword engines fail to bridge synonyms or map pre-existing IPC/Cr.P.C. provisions to modern Bharatiya Nyaya Sanhita (BNS 2023) equivalents, causing practitioners to miss critical precedents.</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Heavy Frontend Build Overhead: </w:t>
      </w:r>
      <w:r>
        <w:t>Modern complex web applications frequently depend on heavy JavaScript toolchains (Webpack, Vite, npm packages) that require extensive node_modules setups, impeding straightforward deployment on secured court intranet workstations.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tailored for High Court judicial environments.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and is coupled with client-side zero-byte verification via the browser Web Crypto API. Whenever any user views a document, the platform performs real-time SHA-256 re-hashing directly from disk bytes; if even a single bit has been altered, the viewer displays an immediate quarantine alert. Furthermore, Lexguard introduces a sequentially linked, hash-chained audit ledger with 989 recorded blocks wherein every event incorporates the SHA-256 hash of its predecessor, establishing immutable non-repudiation.</w:t>
      </w:r>
    </w:p>
    <w:p>
      <w:pPr>
        <w:spacing w:line="360" w:lineRule="auto" w:after="120"/>
        <w:jc w:val="both"/>
      </w:pPr>
      <w:r>
        <w:t>For precedent retrieval, Lexguard pioneers a hybrid Reciprocal Rank Fusion (RRF) engine. Queries are embedded into dense 384-dimensional vector representations using domain-adapted transformer models (InLegalBERT), fused with PostgreSQL 17 full-text search across 208 indexed judgments. An automated concordance module translates statutory sections between IPC/Cr.P.C. and BNS/BNSS 2023. An integrated AI Judgment Draft Studio allows advocates to draft petitions and receive real-time, anti-hallucinatory gap analyses. Built on a zero-build Pure HTML5, Bootstrap 5, jQuery, Chart.js, and PDF.js frontend, Lexguard runs instantly in any browser without build tooling.</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 in Table 2.1:</w:t>
      </w:r>
    </w:p>
    <w:p>
      <w:pPr>
        <w:spacing w:before="120" w:after="60"/>
      </w:pPr>
      <w:r>
        <w:rPr>
          <w:b/>
          <w:sz w:val="22"/>
        </w:rPr>
        <w:t>Table 2.1: Evaluation Metric Comparison: Existing vs. Proposed LexGuard</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Dual-layer SHA-256 byte verification (Browser Web Crypto API + Server streaming).</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holding 989+ verifiable blocks.</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matching; high rate of missed cases.</w:t>
            </w:r>
          </w:p>
        </w:tc>
        <w:tc>
          <w:tcPr>
            <w:tcW w:type="dxa" w:w="3312"/>
            <w:tcMar>
              <w:top w:w="100" w:type="dxa"/>
              <w:bottom w:w="100" w:type="dxa"/>
              <w:left w:w="120" w:type="dxa"/>
              <w:right w:w="120" w:type="dxa"/>
            </w:tcMar>
          </w:tcPr>
          <w:p>
            <w:pPr>
              <w:spacing w:line="288" w:lineRule="auto"/>
              <w:jc w:val="both"/>
            </w:pPr>
            <w:r>
              <w:rPr>
                <w:sz w:val="19"/>
              </w:rPr>
              <w:t>Reciprocal Rank Fusion (RRF): Dense InLegalBERT embeddings + PostgreSQL full-text search.</w:t>
            </w:r>
          </w:p>
        </w:tc>
      </w:tr>
      <w:tr>
        <w:tc>
          <w:tcPr>
            <w:tcW w:type="dxa" w:w="2880"/>
            <w:tcMar>
              <w:top w:w="100" w:type="dxa"/>
              <w:bottom w:w="100" w:type="dxa"/>
              <w:left w:w="120" w:type="dxa"/>
              <w:right w:w="120" w:type="dxa"/>
            </w:tcMar>
            <w:shd w:fill="F8FAFC"/>
          </w:tcPr>
          <w:p>
            <w:pPr>
              <w:spacing w:line="288" w:lineRule="auto"/>
              <w:jc w:val="left"/>
            </w:pPr>
            <w:r>
              <w:rPr>
                <w:b/>
                <w:sz w:val="19"/>
              </w:rPr>
              <w:t>Statutory Concordance</w:t>
            </w:r>
          </w:p>
        </w:tc>
        <w:tc>
          <w:tcPr>
            <w:tcW w:type="dxa" w:w="3168"/>
            <w:tcMar>
              <w:top w:w="100" w:type="dxa"/>
              <w:bottom w:w="100" w:type="dxa"/>
              <w:left w:w="120" w:type="dxa"/>
              <w:right w:w="120" w:type="dxa"/>
            </w:tcMar>
            <w:shd w:fill="F8FAFC"/>
          </w:tcPr>
          <w:p>
            <w:pPr>
              <w:spacing w:line="288" w:lineRule="auto"/>
              <w:jc w:val="both"/>
            </w:pPr>
            <w:r>
              <w:rPr>
                <w:sz w:val="19"/>
              </w:rPr>
              <w:t>Manual cross-referencing between old and new criminal laws.</w:t>
            </w:r>
          </w:p>
        </w:tc>
        <w:tc>
          <w:tcPr>
            <w:tcW w:type="dxa" w:w="3312"/>
            <w:tcMar>
              <w:top w:w="100" w:type="dxa"/>
              <w:bottom w:w="100" w:type="dxa"/>
              <w:left w:w="120" w:type="dxa"/>
              <w:right w:w="120" w:type="dxa"/>
            </w:tcMar>
            <w:shd w:fill="F8FAFC"/>
          </w:tcPr>
          <w:p>
            <w:pPr>
              <w:spacing w:line="288" w:lineRule="auto"/>
              <w:jc w:val="both"/>
            </w:pPr>
            <w:r>
              <w:rPr>
                <w:sz w:val="19"/>
              </w:rPr>
              <w:t>Automated bidirectional concordance mapping (IPC/Cr.P.C. &lt;-&gt; BNS/BNSS 2023).</w:t>
            </w:r>
          </w:p>
        </w:tc>
      </w:tr>
      <w:tr>
        <w:tc>
          <w:tcPr>
            <w:tcW w:type="dxa" w:w="2880"/>
            <w:tcMar>
              <w:top w:w="100" w:type="dxa"/>
              <w:bottom w:w="100" w:type="dxa"/>
              <w:left w:w="120" w:type="dxa"/>
              <w:right w:w="120" w:type="dxa"/>
            </w:tcMar>
          </w:tcPr>
          <w:p>
            <w:pPr>
              <w:spacing w:line="288" w:lineRule="auto"/>
              <w:jc w:val="left"/>
            </w:pPr>
            <w:r>
              <w:rPr>
                <w:b/>
                <w:sz w:val="19"/>
              </w:rPr>
              <w:t>AI Safety &amp; Hallucination</w:t>
            </w:r>
          </w:p>
        </w:tc>
        <w:tc>
          <w:tcPr>
            <w:tcW w:type="dxa" w:w="3168"/>
            <w:tcMar>
              <w:top w:w="100" w:type="dxa"/>
              <w:bottom w:w="100" w:type="dxa"/>
              <w:left w:w="120" w:type="dxa"/>
              <w:right w:w="120" w:type="dxa"/>
            </w:tcMar>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tcPr>
          <w:p>
            <w:pPr>
              <w:spacing w:line="288" w:lineRule="auto"/>
              <w:jc w:val="both"/>
            </w:pPr>
            <w:r>
              <w:rPr>
                <w:sz w:val="19"/>
              </w:rPr>
              <w:t>Zero-hallucination constraint; citations strictly mapped to 208 verified database records.</w:t>
            </w:r>
          </w:p>
        </w:tc>
      </w:tr>
      <w:tr>
        <w:tc>
          <w:tcPr>
            <w:tcW w:type="dxa" w:w="2880"/>
            <w:tcMar>
              <w:top w:w="100" w:type="dxa"/>
              <w:bottom w:w="100" w:type="dxa"/>
              <w:left w:w="120" w:type="dxa"/>
              <w:right w:w="120" w:type="dxa"/>
            </w:tcMar>
            <w:shd w:fill="F8FAFC"/>
          </w:tcPr>
          <w:p>
            <w:pPr>
              <w:spacing w:line="288" w:lineRule="auto"/>
              <w:jc w:val="left"/>
            </w:pPr>
            <w:r>
              <w:rPr>
                <w:b/>
                <w:sz w:val="19"/>
              </w:rPr>
              <w:t>Frontend Deployment</w:t>
            </w:r>
          </w:p>
        </w:tc>
        <w:tc>
          <w:tcPr>
            <w:tcW w:type="dxa" w:w="3168"/>
            <w:tcMar>
              <w:top w:w="100" w:type="dxa"/>
              <w:bottom w:w="100" w:type="dxa"/>
              <w:left w:w="120" w:type="dxa"/>
              <w:right w:w="120" w:type="dxa"/>
            </w:tcMar>
            <w:shd w:fill="F8FAFC"/>
          </w:tcPr>
          <w:p>
            <w:pPr>
              <w:spacing w:line="288" w:lineRule="auto"/>
              <w:jc w:val="both"/>
            </w:pPr>
            <w:r>
              <w:rPr>
                <w:sz w:val="19"/>
              </w:rPr>
              <w:t>Heavy build frameworks requiring Node.js, npm, and complex bundling.</w:t>
            </w:r>
          </w:p>
        </w:tc>
        <w:tc>
          <w:tcPr>
            <w:tcW w:type="dxa" w:w="3312"/>
            <w:tcMar>
              <w:top w:w="100" w:type="dxa"/>
              <w:bottom w:w="100" w:type="dxa"/>
              <w:left w:w="120" w:type="dxa"/>
              <w:right w:w="120" w:type="dxa"/>
            </w:tcMar>
            <w:shd w:fill="F8FAFC"/>
          </w:tcPr>
          <w:p>
            <w:pPr>
              <w:spacing w:line="288" w:lineRule="auto"/>
              <w:jc w:val="both"/>
            </w:pPr>
            <w:r>
              <w:rPr>
                <w:sz w:val="19"/>
              </w:rPr>
              <w:t>Zero-Build Pure HTML5, Bootstrap 5, jQuery, Chart.js, PDF.js running instantly in browser.</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PostgreSQL 17. The frontend is built using zero-build Pure HTML5, Bootstrap 5, jQuery, Chart.js, and PDF.js, completely eliminating npm, node_modules, and bundler compilation steps. The AI pipeline harnesses locally deployed InLegalBERT embeddings, which execute inference with minimal computational footprint on standard CPU or modest GPU architectures. PostgreSQL provides robust relational and full-text vector indexing. As modern judicial and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The UI adheres to the authentic Madras High Court Red and White design system (Crimson #991b1b, Maroon #7f1d1d, and Pristine White #ffffff), creating immediate familiarity for court personnel. Registry staff continue uploading case PDFs through an intuitive form; the platform automatically extracts CNR metadata, generates SHA-256 hashes, and routes files to a senior review workstation. Advocates interact with streamlined CNR lookups, BNS concordance tools, and the AI draft studio.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and expensive proprietary search API subscriptions. The zero-build frontend requires no dedicated build servers or CDN pipelines. The application runs efficiently on existing institutional servers and personal development workstations with standard memory requirements (8 GB RAM). Consequently, the capital and recurring operational expenditures remain negligible, establishing exceptional economic feasibility.</w:t>
      </w:r>
    </w:p>
    <w:p>
      <w:r>
        <w:br w:type="page"/>
      </w:r>
    </w:p>
    <w:p>
      <w:pPr>
        <w:spacing w:before="240" w:after="80"/>
        <w:jc w:val="center"/>
      </w:pPr>
      <w:r>
        <w:rPr>
          <w:b/>
          <w:sz w:val="32"/>
        </w:rPr>
        <w:t>CHAPTER 3</w:t>
        <w:br/>
        <w:t>SYSTEM DESIGN</w:t>
      </w:r>
    </w:p>
    <w:p>
      <w:pPr>
        <w:spacing w:before="280" w:after="80"/>
      </w:pPr>
      <w:r>
        <w:rPr>
          <w:b/>
          <w:sz w:val="26"/>
        </w:rPr>
        <w:t>3.1 Software Requirements Specifications (SRS)</w:t>
      </w:r>
    </w:p>
    <w:p>
      <w:pPr>
        <w:spacing w:line="360" w:lineRule="auto" w:after="120"/>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pPr>
        <w:spacing w:before="160" w:after="80"/>
      </w:pPr>
      <w:r>
        <w:rPr>
          <w:b/>
          <w:sz w:val="24"/>
        </w:rPr>
        <w:t>3.1.1 Purpose and Scope</w:t>
      </w:r>
    </w:p>
    <w:p>
      <w:pPr>
        <w:spacing w:line="360" w:lineRule="auto" w:after="120"/>
        <w:jc w:val="both"/>
      </w:pPr>
      <w:r>
        <w:t>The purpose of this software is to establish an end-to-end judicial precedent intelligence and cryptographic document integrity infrastructure tailored to High Court workflows. The scope encompasses role-based access management (Court Staff, Senior Registrar, Advocates, Legal Scholars, Public Users), dual-layer SHA-256 byte hashing, immutable 989-block hash-chained audit logging, InLegalBERT semantic search with Reciprocal Rank Fusion, statutory concordance mapping (IPC &lt;-&gt; BNS 2023), administrative case review workstations, and an anti-hallucinatory AI petition drafting studio.</w:t>
      </w:r>
    </w:p>
    <w:p>
      <w:pPr>
        <w:spacing w:before="160" w:after="80"/>
      </w:pPr>
      <w:r>
        <w:rPr>
          <w:b/>
          <w:sz w:val="24"/>
        </w:rPr>
        <w:t>3.1.2 Definitions, Acronyms, and Abbreviations</w:t>
      </w:r>
    </w:p>
    <w:p>
      <w:pPr>
        <w:pStyle w:val="ListBullet"/>
        <w:spacing w:line="360" w:lineRule="auto" w:after="80"/>
        <w:jc w:val="both"/>
      </w:pPr>
      <w:r>
        <w:rPr>
          <w:b/>
        </w:rPr>
        <w:t xml:space="preserve">SHA-256 (Secure Hash Algorithm 256-bit): </w:t>
      </w:r>
      <w:r>
        <w:t>A cryptographic hash function producing an irreversible 256-bit (64 hex characters) digital digest uniquely identifying binary contents.</w:t>
      </w:r>
    </w:p>
    <w:p>
      <w:pPr>
        <w:pStyle w:val="ListBullet"/>
        <w:spacing w:line="360" w:lineRule="auto" w:after="80"/>
        <w:jc w:val="both"/>
      </w:pPr>
      <w:r>
        <w:rPr>
          <w:b/>
        </w:rPr>
        <w:t xml:space="preserve">Web Crypto API: </w:t>
      </w:r>
      <w:r>
        <w:t>A native, highly optimized W3C standard JavaScript API allowing browsers to compute SHA-256 hashes directly from client-side file byte arrays without server roundtrips.</w:t>
      </w:r>
    </w:p>
    <w:p>
      <w:pPr>
        <w:pStyle w:val="ListBullet"/>
        <w:spacing w:line="360" w:lineRule="auto" w:after="80"/>
        <w:jc w:val="both"/>
      </w:pPr>
      <w:r>
        <w:rPr>
          <w:b/>
        </w:rPr>
        <w:t xml:space="preserve">Hash-Chained Audit Ledger: </w:t>
      </w:r>
      <w:r>
        <w:t>A sequential linked list of audit transactions wherein each block contains the cryptographic digest of the prior record, ensuring mathematical tamper-evidence across 989+ blocks.</w:t>
      </w:r>
    </w:p>
    <w:p>
      <w:pPr>
        <w:pStyle w:val="ListBullet"/>
        <w:spacing w:line="360" w:lineRule="auto" w:after="80"/>
        <w:jc w:val="both"/>
      </w:pPr>
      <w:r>
        <w:rPr>
          <w:b/>
        </w:rPr>
        <w:t xml:space="preserve">CNR (Case Number Record): </w:t>
      </w:r>
      <w:r>
        <w:t>A unique 16-character alphanumeric code assigned to court cases across the Indian judicial system.</w:t>
      </w:r>
    </w:p>
    <w:p>
      <w:pPr>
        <w:pStyle w:val="ListBullet"/>
        <w:spacing w:line="360" w:lineRule="auto" w:after="80"/>
        <w:jc w:val="both"/>
      </w:pPr>
      <w:r>
        <w:rPr>
          <w:b/>
        </w:rPr>
        <w:t xml:space="preserve">BNS / BNSS 2023: </w:t>
      </w:r>
      <w:r>
        <w:t>Bharatiya Nyaya Sanhita and Bharatiya Nagarik Suraksha Sanhita, replacing the Indian Penal Code 1860 and Code of Criminal Procedure 1973.</w:t>
      </w:r>
    </w:p>
    <w:p>
      <w:pPr>
        <w:pStyle w:val="ListBullet"/>
        <w:spacing w:line="360" w:lineRule="auto" w:after="80"/>
        <w:jc w:val="both"/>
      </w:pPr>
      <w:r>
        <w:rPr>
          <w:b/>
        </w:rPr>
        <w:t xml:space="preserve">RRF (Reciprocal Rank Fusion): </w:t>
      </w:r>
      <w:r>
        <w:t>An algorithmic score fusion technique combining ranked lists from dense vector search and sparse full-text lexical search.</w:t>
      </w:r>
    </w:p>
    <w:p>
      <w:pPr>
        <w:pStyle w:val="ListBullet"/>
        <w:spacing w:line="360" w:lineRule="auto" w:after="80"/>
        <w:jc w:val="both"/>
      </w:pPr>
      <w:r>
        <w:rPr>
          <w:b/>
        </w:rPr>
        <w:t xml:space="preserve">RBAC (Role-Based Access Control): </w:t>
      </w:r>
      <w:r>
        <w:t>An access restriction paradigm determining permissible system actions according to designated user roles (Admin, Staff, Advocate, Scholar, Public).</w:t>
      </w:r>
    </w:p>
    <w:p>
      <w:pPr>
        <w:pStyle w:val="ListBullet"/>
        <w:spacing w:line="360" w:lineRule="auto" w:after="80"/>
        <w:jc w:val="both"/>
      </w:pPr>
      <w:r>
        <w:rPr>
          <w:b/>
        </w:rPr>
        <w:t xml:space="preserve">CSRF (Cross-Site Request Forgery): </w:t>
      </w:r>
      <w:r>
        <w:t>A malicious web vulnerability mitigated in Lexguard via double-submit cryptographically verified header tokens.</w:t>
      </w:r>
    </w:p>
    <w:p>
      <w:pPr>
        <w:spacing w:before="160" w:after="80"/>
      </w:pPr>
      <w:r>
        <w:rPr>
          <w:b/>
          <w:sz w:val="24"/>
        </w:rPr>
        <w:t>3.1.3 Product Perspective &amp; Functions</w:t>
      </w:r>
    </w:p>
    <w:p>
      <w:pPr>
        <w:spacing w:line="360" w:lineRule="auto" w:after="120"/>
        <w:jc w:val="both"/>
      </w:pPr>
      <w:r>
        <w:t>Lexguard operates as a decoupled three-tier web application consisting of a zero-build HTML5/Bootstrap presentation tier, a high-concurrency FastAPI application tier, and a PostgreSQL 17 persistence tier. The core functional modules provided by the system are:</w:t>
        <w:br/>
        <w:t>1. Secure Identity Management: BCrypt credential hashing, JWT token generation delivered via HttpOnly, SameSite=Lax session cookies.</w:t>
        <w:br/>
        <w:t>2. Zero-Trust Document Ingestion: Streaming byte hashing, duplicate detection, and automated text/metadata extraction via PyMuPDF.</w:t>
        <w:br/>
        <w:t>3. Administrative Gatekeeping: Two-tier review workflow where junior uploads require senior registrar verification before publication.</w:t>
        <w:br/>
        <w:t>4. Dual Cryptographic Verification: On-demand dynamic re-computation of SHA-256 byte digests via Web Crypto API and server-side verification.</w:t>
        <w:br/>
        <w:t>5. Precedent Reciprocal Rank Fusion: Blended ranking combining dense InLegalBERT embeddings with PostgreSQL full-text search across 208 cases.</w:t>
        <w:br/>
        <w:t>6. Statutory Concordance Engine: Bidirectional concordance directory translating between IPC/Cr.P.C. and BNS/BNSS 2023.</w:t>
        <w:br/>
        <w:t>7. Anti-Hallucinatory Draft Studio: Real-time petition paragraph scanning that cross-references statutory gaps strictly against verified holdings.</w:t>
        <w:br/>
        <w:t>8. Precedent Comparison Matrix: Multi-column side-by-side alignment of conflicting court judgments.</w:t>
      </w:r>
    </w:p>
    <w:p>
      <w:pPr>
        <w:spacing w:before="160" w:after="80"/>
      </w:pPr>
      <w:r>
        <w:rPr>
          <w:b/>
          <w:sz w:val="24"/>
        </w:rPr>
        <w:t>3.1.4 External Interface Requirements</w:t>
      </w:r>
    </w:p>
    <w:p>
      <w:pPr>
        <w:spacing w:line="360" w:lineRule="auto" w:after="120"/>
        <w:jc w:val="both"/>
      </w:pPr>
      <w:r>
        <w:t>• User Interface: Responsive zero-build interface in Pure HTML5, Bootstrap 5, jQuery, Chart.js, and PDF.js adhering to the Madras High Court Crimson (#991b1b) and White design palette.</w:t>
        <w:br/>
        <w:t>• Hardware Interface: x86-64 server or desktop with at least 8 GB RAM and 2.0 GHz multi-core processor.</w:t>
        <w:br/>
        <w:t>• Software Interface: Modern browser (Chromium, Firefox, Safari) supporting modern ES6+ standards, Web Crypto API, and canvas-based PDF.js rendering; Windows 10/11 or Linux OS host.</w:t>
      </w:r>
    </w:p>
    <w:p>
      <w:pPr>
        <w:spacing w:before="160" w:after="80"/>
      </w:pPr>
      <w:r>
        <w:rPr>
          <w:b/>
          <w:sz w:val="24"/>
        </w:rPr>
        <w:t>3.1.5 Non-Functional Requirements</w:t>
      </w:r>
    </w:p>
    <w:p>
      <w:pPr>
        <w:pStyle w:val="ListBullet"/>
        <w:spacing w:line="360" w:lineRule="auto" w:after="80"/>
        <w:jc w:val="both"/>
      </w:pPr>
      <w:r>
        <w:rPr>
          <w:b/>
        </w:rPr>
        <w:t xml:space="preserve">Performance: </w:t>
      </w:r>
      <w:r>
        <w:t>Hybrid precedent search queries shall return ranked results within 1.5 seconds. On-demand SHA-256 byte verification shall execute in under 150 ms for files up to 25 MB.</w:t>
      </w:r>
    </w:p>
    <w:p>
      <w:pPr>
        <w:pStyle w:val="ListBullet"/>
        <w:spacing w:line="360" w:lineRule="auto" w:after="80"/>
        <w:jc w:val="both"/>
      </w:pPr>
      <w:r>
        <w:rPr>
          <w:b/>
        </w:rPr>
        <w:t xml:space="preserve">Security: </w:t>
      </w:r>
      <w:r>
        <w:t>Passwords hashed using BCrypt (cost factor 12). API endpoints protected with Double-Submit CSRF tokens and strict Content-Security-Policy (CSP) headers.</w:t>
      </w:r>
    </w:p>
    <w:p>
      <w:pPr>
        <w:pStyle w:val="ListBullet"/>
        <w:spacing w:line="360" w:lineRule="auto" w:after="80"/>
        <w:jc w:val="both"/>
      </w:pPr>
      <w:r>
        <w:rPr>
          <w:b/>
        </w:rPr>
        <w:t xml:space="preserve">Fault Tolerance: </w:t>
      </w:r>
      <w:r>
        <w:t>AI microservice interactions utilize asynchronous circuit breakers with automatic fallback to keyword heuristic matching if neural inference is unavailable.</w:t>
      </w:r>
    </w:p>
    <w:p>
      <w:pPr>
        <w:pStyle w:val="ListBullet"/>
        <w:spacing w:line="360" w:lineRule="auto" w:after="80"/>
        <w:jc w:val="both"/>
      </w:pPr>
      <w:r>
        <w:rPr>
          <w:b/>
        </w:rPr>
        <w:t xml:space="preserve">Data Integrity: </w:t>
      </w:r>
      <w:r>
        <w:t>Zero tolerance for byte tampering; any document file differing by even one byte from its recorded hash is immediately placed into quarantine.</w:t>
      </w:r>
    </w:p>
    <w:p>
      <w:pPr>
        <w:spacing w:before="280" w:after="80"/>
      </w:pPr>
      <w:r>
        <w:rPr>
          <w:b/>
          <w:sz w:val="26"/>
        </w:rPr>
        <w:t>3.2 UML Diagrams &amp; Design Diagrams</w:t>
      </w:r>
    </w:p>
    <w:p>
      <w:pPr>
        <w:spacing w:line="360" w:lineRule="auto" w:after="120"/>
        <w:jc w:val="both"/>
      </w:pPr>
      <w:r>
        <w:t>To articulate the structural, behavioral, and architectural dynamics of Lexguard, standard Unified Modeling Language (UML) specifications are documented and visualized below.</w:t>
      </w:r>
    </w:p>
    <w:p>
      <w:pPr>
        <w:spacing w:before="200" w:after="80"/>
      </w:pPr>
      <w:r>
        <w:rPr>
          <w:b/>
        </w:rPr>
        <w:t>3.2.1 Use Case Diagram</w:t>
      </w:r>
    </w:p>
    <w:p>
      <w:pPr>
        <w:spacing w:line="360" w:lineRule="auto"/>
        <w:jc w:val="both"/>
      </w:pPr>
      <w:r>
        <w:t>Figure 3.1 illustrates the Use Case model detailing interactions across Court Staff, Senior Registrars, Advocates, Scholars, Public Users, and the automated Cryptographic Ledger System.</w:t>
      </w:r>
    </w:p>
    <w:p>
      <w:pPr>
        <w:spacing w:before="160" w:after="80"/>
        <w:jc w:val="center"/>
      </w:pPr>
      <w:r>
        <w:drawing>
          <wp:inline xmlns:a="http://schemas.openxmlformats.org/drawingml/2006/main" xmlns:pic="http://schemas.openxmlformats.org/drawingml/2006/picture">
            <wp:extent cx="5303520" cy="3521537"/>
            <wp:docPr id="1" name="Picture 1"/>
            <wp:cNvGraphicFramePr>
              <a:graphicFrameLocks noChangeAspect="1"/>
            </wp:cNvGraphicFramePr>
            <a:graphic>
              <a:graphicData uri="http://schemas.openxmlformats.org/drawingml/2006/picture">
                <pic:pic>
                  <pic:nvPicPr>
                    <pic:cNvPr id="0" name="fig_3_1_use_case.png"/>
                    <pic:cNvPicPr/>
                  </pic:nvPicPr>
                  <pic:blipFill>
                    <a:blip r:embed="rId10"/>
                    <a:stretch>
                      <a:fillRect/>
                    </a:stretch>
                  </pic:blipFill>
                  <pic:spPr>
                    <a:xfrm>
                      <a:off x="0" y="0"/>
                      <a:ext cx="5303520" cy="3521537"/>
                    </a:xfrm>
                    <a:prstGeom prst="rect"/>
                  </pic:spPr>
                </pic:pic>
              </a:graphicData>
            </a:graphic>
          </wp:inline>
        </w:drawing>
      </w:r>
    </w:p>
    <w:p>
      <w:pPr>
        <w:spacing w:before="40" w:after="240"/>
        <w:jc w:val="center"/>
      </w:pPr>
      <w:r>
        <w:rPr>
          <w:b/>
          <w:color w:val="0F172A"/>
          <w:sz w:val="21"/>
        </w:rPr>
        <w:t>Figure 3.1: Use Case Diagram for Lexguard Legal Case Research System</w:t>
      </w:r>
    </w:p>
    <w:p>
      <w:pPr>
        <w:spacing w:before="200" w:after="80"/>
      </w:pPr>
      <w:r>
        <w:rPr>
          <w:b/>
        </w:rPr>
        <w:t>3.2.2 System Class Diagram</w:t>
      </w:r>
    </w:p>
    <w:p>
      <w:pPr>
        <w:spacing w:line="360" w:lineRule="auto"/>
        <w:jc w:val="both"/>
      </w:pPr>
      <w:r>
        <w:t>Figure 3.2 models the object-oriented structure of Lexguard, capturing core entities (User, Case, AuditLog, ApprovalQueue, Bookmark) alongside service operations.</w:t>
      </w:r>
    </w:p>
    <w:p>
      <w:pPr>
        <w:spacing w:before="160" w:after="80"/>
        <w:jc w:val="center"/>
      </w:pPr>
      <w:r>
        <w:drawing>
          <wp:inline xmlns:a="http://schemas.openxmlformats.org/drawingml/2006/main" xmlns:pic="http://schemas.openxmlformats.org/drawingml/2006/picture">
            <wp:extent cx="5303520" cy="3674582"/>
            <wp:docPr id="2" name="Picture 2"/>
            <wp:cNvGraphicFramePr>
              <a:graphicFrameLocks noChangeAspect="1"/>
            </wp:cNvGraphicFramePr>
            <a:graphic>
              <a:graphicData uri="http://schemas.openxmlformats.org/drawingml/2006/picture">
                <pic:pic>
                  <pic:nvPicPr>
                    <pic:cNvPr id="0" name="fig_3_2_class.png"/>
                    <pic:cNvPicPr/>
                  </pic:nvPicPr>
                  <pic:blipFill>
                    <a:blip r:embed="rId11"/>
                    <a:stretch>
                      <a:fillRect/>
                    </a:stretch>
                  </pic:blipFill>
                  <pic:spPr>
                    <a:xfrm>
                      <a:off x="0" y="0"/>
                      <a:ext cx="5303520" cy="3674582"/>
                    </a:xfrm>
                    <a:prstGeom prst="rect"/>
                  </pic:spPr>
                </pic:pic>
              </a:graphicData>
            </a:graphic>
          </wp:inline>
        </w:drawing>
      </w:r>
    </w:p>
    <w:p>
      <w:pPr>
        <w:spacing w:before="40" w:after="240"/>
        <w:jc w:val="center"/>
      </w:pPr>
      <w:r>
        <w:rPr>
          <w:b/>
          <w:color w:val="0F172A"/>
          <w:sz w:val="21"/>
        </w:rPr>
        <w:t>Figure 3.2: System Class Diagram &amp; Data Modeling Architecture</w:t>
      </w:r>
    </w:p>
    <w:p>
      <w:pPr>
        <w:spacing w:before="200" w:after="80"/>
      </w:pPr>
      <w:r>
        <w:rPr>
          <w:b/>
        </w:rPr>
        <w:t>3.2.3 Activity Diagram</w:t>
      </w:r>
    </w:p>
    <w:p>
      <w:pPr>
        <w:spacing w:line="360" w:lineRule="auto"/>
        <w:jc w:val="both"/>
      </w:pPr>
      <w:r>
        <w:t>Figure 3.3 depicts the end-to-end Activity flow governing document upload, duplicate hash detection, NER metadata extraction, senior approval, and hash-chained logging.</w:t>
      </w:r>
    </w:p>
    <w:p>
      <w:pPr>
        <w:spacing w:before="160" w:after="80"/>
        <w:jc w:val="center"/>
      </w:pPr>
      <w:r>
        <w:drawing>
          <wp:inline xmlns:a="http://schemas.openxmlformats.org/drawingml/2006/main" xmlns:pic="http://schemas.openxmlformats.org/drawingml/2006/picture">
            <wp:extent cx="5303520" cy="6308397"/>
            <wp:docPr id="3" name="Picture 3"/>
            <wp:cNvGraphicFramePr>
              <a:graphicFrameLocks noChangeAspect="1"/>
            </wp:cNvGraphicFramePr>
            <a:graphic>
              <a:graphicData uri="http://schemas.openxmlformats.org/drawingml/2006/picture">
                <pic:pic>
                  <pic:nvPicPr>
                    <pic:cNvPr id="0" name="fig_3_2_activity.png"/>
                    <pic:cNvPicPr/>
                  </pic:nvPicPr>
                  <pic:blipFill>
                    <a:blip r:embed="rId12"/>
                    <a:stretch>
                      <a:fillRect/>
                    </a:stretch>
                  </pic:blipFill>
                  <pic:spPr>
                    <a:xfrm>
                      <a:off x="0" y="0"/>
                      <a:ext cx="5303520" cy="6308397"/>
                    </a:xfrm>
                    <a:prstGeom prst="rect"/>
                  </pic:spPr>
                </pic:pic>
              </a:graphicData>
            </a:graphic>
          </wp:inline>
        </w:drawing>
      </w:r>
    </w:p>
    <w:p>
      <w:pPr>
        <w:spacing w:before="40" w:after="240"/>
        <w:jc w:val="center"/>
      </w:pPr>
      <w:r>
        <w:rPr>
          <w:b/>
          <w:color w:val="0F172A"/>
          <w:sz w:val="21"/>
        </w:rPr>
        <w:t>Figure 3.3: Activity Diagram for Document Ingestion and Integrity Verification</w:t>
      </w:r>
    </w:p>
    <w:p>
      <w:pPr>
        <w:spacing w:before="200" w:after="80"/>
      </w:pPr>
      <w:r>
        <w:rPr>
          <w:b/>
        </w:rPr>
        <w:t>3.2.4 State Diagram</w:t>
      </w:r>
    </w:p>
    <w:p>
      <w:pPr>
        <w:spacing w:line="360" w:lineRule="auto"/>
        <w:jc w:val="both"/>
      </w:pPr>
      <w:r>
        <w:t>Figure 3.4 models the document lifecycle states from initial ingestion through approval, publication, and real-time quarantine alerts.</w:t>
      </w:r>
    </w:p>
    <w:p>
      <w:pPr>
        <w:spacing w:before="160" w:after="80"/>
        <w:jc w:val="center"/>
      </w:pPr>
      <w:r>
        <w:drawing>
          <wp:inline xmlns:a="http://schemas.openxmlformats.org/drawingml/2006/main" xmlns:pic="http://schemas.openxmlformats.org/drawingml/2006/picture">
            <wp:extent cx="5303520" cy="3907857"/>
            <wp:docPr id="4" name="Picture 4"/>
            <wp:cNvGraphicFramePr>
              <a:graphicFrameLocks noChangeAspect="1"/>
            </wp:cNvGraphicFramePr>
            <a:graphic>
              <a:graphicData uri="http://schemas.openxmlformats.org/drawingml/2006/picture">
                <pic:pic>
                  <pic:nvPicPr>
                    <pic:cNvPr id="0" name="fig_3_3_state.png"/>
                    <pic:cNvPicPr/>
                  </pic:nvPicPr>
                  <pic:blipFill>
                    <a:blip r:embed="rId13"/>
                    <a:stretch>
                      <a:fillRect/>
                    </a:stretch>
                  </pic:blipFill>
                  <pic:spPr>
                    <a:xfrm>
                      <a:off x="0" y="0"/>
                      <a:ext cx="5303520" cy="3907857"/>
                    </a:xfrm>
                    <a:prstGeom prst="rect"/>
                  </pic:spPr>
                </pic:pic>
              </a:graphicData>
            </a:graphic>
          </wp:inline>
        </w:drawing>
      </w:r>
    </w:p>
    <w:p>
      <w:pPr>
        <w:spacing w:before="40" w:after="240"/>
        <w:jc w:val="center"/>
      </w:pPr>
      <w:r>
        <w:rPr>
          <w:b/>
          <w:color w:val="0F172A"/>
          <w:sz w:val="21"/>
        </w:rPr>
        <w:t>Figure 3.4: State Diagram for Case Document Status Lifecycle</w:t>
      </w:r>
    </w:p>
    <w:p>
      <w:pPr>
        <w:spacing w:before="200" w:after="80"/>
      </w:pPr>
      <w:r>
        <w:rPr>
          <w:b/>
        </w:rPr>
        <w:t>3.2.5 Sequence Diagram</w:t>
      </w:r>
    </w:p>
    <w:p>
      <w:pPr>
        <w:spacing w:line="360" w:lineRule="auto"/>
        <w:jc w:val="both"/>
      </w:pPr>
      <w:r>
        <w:t>Figure 3.5 captures the sequential message exchanges between the Zero-Build Client, FastAPI Gateway, AI Service, and PostgreSQL Ledger.</w:t>
      </w:r>
    </w:p>
    <w:p>
      <w:pPr>
        <w:spacing w:before="160" w:after="80"/>
        <w:jc w:val="center"/>
      </w:pPr>
      <w:r>
        <w:drawing>
          <wp:inline xmlns:a="http://schemas.openxmlformats.org/drawingml/2006/main" xmlns:pic="http://schemas.openxmlformats.org/drawingml/2006/picture">
            <wp:extent cx="5303520" cy="3689405"/>
            <wp:docPr id="5" name="Picture 5"/>
            <wp:cNvGraphicFramePr>
              <a:graphicFrameLocks noChangeAspect="1"/>
            </wp:cNvGraphicFramePr>
            <a:graphic>
              <a:graphicData uri="http://schemas.openxmlformats.org/drawingml/2006/picture">
                <pic:pic>
                  <pic:nvPicPr>
                    <pic:cNvPr id="0" name="fig_3_4_sequence.png"/>
                    <pic:cNvPicPr/>
                  </pic:nvPicPr>
                  <pic:blipFill>
                    <a:blip r:embed="rId14"/>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3.5: Sequence Diagram for Precedent Search and Verification Flow</w:t>
      </w:r>
    </w:p>
    <w:p>
      <w:pPr>
        <w:spacing w:before="200" w:after="80"/>
      </w:pPr>
      <w:r>
        <w:rPr>
          <w:b/>
        </w:rPr>
        <w:t>3.2.6 Entity Relationship (ER) Diagram</w:t>
      </w:r>
    </w:p>
    <w:p>
      <w:pPr>
        <w:spacing w:line="360" w:lineRule="auto"/>
        <w:jc w:val="both"/>
      </w:pPr>
      <w:r>
        <w:t>Figure 3.6 articulates the relational database schema, demonstrating key constraints and foreign-key mappings between users, cases, audit logs, and approval queues.</w:t>
      </w:r>
    </w:p>
    <w:p>
      <w:pPr>
        <w:spacing w:before="160" w:after="80"/>
        <w:jc w:val="center"/>
      </w:pPr>
      <w:r>
        <w:drawing>
          <wp:inline xmlns:a="http://schemas.openxmlformats.org/drawingml/2006/main" xmlns:pic="http://schemas.openxmlformats.org/drawingml/2006/picture">
            <wp:extent cx="5303520" cy="3899647"/>
            <wp:docPr id="6" name="Picture 6"/>
            <wp:cNvGraphicFramePr>
              <a:graphicFrameLocks noChangeAspect="1"/>
            </wp:cNvGraphicFramePr>
            <a:graphic>
              <a:graphicData uri="http://schemas.openxmlformats.org/drawingml/2006/picture">
                <pic:pic>
                  <pic:nvPicPr>
                    <pic:cNvPr id="0" name="fig_3_5_er.png"/>
                    <pic:cNvPicPr/>
                  </pic:nvPicPr>
                  <pic:blipFill>
                    <a:blip r:embed="rId15"/>
                    <a:stretch>
                      <a:fillRect/>
                    </a:stretch>
                  </pic:blipFill>
                  <pic:spPr>
                    <a:xfrm>
                      <a:off x="0" y="0"/>
                      <a:ext cx="5303520" cy="3899647"/>
                    </a:xfrm>
                    <a:prstGeom prst="rect"/>
                  </pic:spPr>
                </pic:pic>
              </a:graphicData>
            </a:graphic>
          </wp:inline>
        </w:drawing>
      </w:r>
    </w:p>
    <w:p>
      <w:pPr>
        <w:spacing w:before="40" w:after="240"/>
        <w:jc w:val="center"/>
      </w:pPr>
      <w:r>
        <w:rPr>
          <w:b/>
          <w:color w:val="0F172A"/>
          <w:sz w:val="21"/>
        </w:rPr>
        <w:t>Figure 3.6: Entity Relationship (ER) Diagram for Lexguard Database</w:t>
      </w:r>
    </w:p>
    <w:p>
      <w:pPr>
        <w:spacing w:before="200" w:after="80"/>
      </w:pPr>
      <w:r>
        <w:rPr>
          <w:b/>
        </w:rPr>
        <w:t>3.2.7 Data Flow Diagram (DFD)</w:t>
      </w:r>
    </w:p>
    <w:p>
      <w:pPr>
        <w:spacing w:line="360" w:lineRule="auto"/>
        <w:jc w:val="both"/>
      </w:pPr>
      <w:r>
        <w:t>Figure 3.7 presents the Level 0 Context Diagram and Level 1 Functional Decomposition illustrating secure data boundaries.</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ig_3_6_dfd.png"/>
                    <pic:cNvPicPr/>
                  </pic:nvPicPr>
                  <pic:blipFill>
                    <a:blip r:embed="rId16"/>
                    <a:stretch>
                      <a:fillRect/>
                    </a:stretch>
                  </pic:blipFill>
                  <pic:spPr>
                    <a:xfrm>
                      <a:off x="0" y="0"/>
                      <a:ext cx="5303520" cy="3977640"/>
                    </a:xfrm>
                    <a:prstGeom prst="rect"/>
                  </pic:spPr>
                </pic:pic>
              </a:graphicData>
            </a:graphic>
          </wp:inline>
        </w:drawing>
      </w:r>
    </w:p>
    <w:p>
      <w:pPr>
        <w:spacing w:before="40" w:after="240"/>
        <w:jc w:val="center"/>
      </w:pPr>
      <w:r>
        <w:rPr>
          <w:b/>
          <w:color w:val="0F172A"/>
          <w:sz w:val="21"/>
        </w:rPr>
        <w:t>Figure 3.7: Data Flow Diagram (Level 0 and Level 1) for Lexguard</w:t>
      </w:r>
    </w:p>
    <w:p>
      <w:pPr>
        <w:spacing w:before="200" w:after="80"/>
      </w:pPr>
      <w:r>
        <w:rPr>
          <w:b/>
        </w:rPr>
        <w:t>3.2.8 System Architecture Diagram</w:t>
      </w:r>
    </w:p>
    <w:p>
      <w:pPr>
        <w:spacing w:line="360" w:lineRule="auto"/>
        <w:jc w:val="both"/>
      </w:pPr>
      <w:r>
        <w:t>Figure 3.8 depicts the layered, decoupled architecture isolating client presentation, FastAPI gateway security, AI inference microservice, and relational persistence.</w:t>
      </w:r>
    </w:p>
    <w:p>
      <w:pPr>
        <w:spacing w:before="160" w:after="80"/>
        <w:jc w:val="center"/>
      </w:pPr>
      <w:r>
        <w:drawing>
          <wp:inline xmlns:a="http://schemas.openxmlformats.org/drawingml/2006/main" xmlns:pic="http://schemas.openxmlformats.org/drawingml/2006/picture">
            <wp:extent cx="5303520" cy="3606394"/>
            <wp:docPr id="8" name="Picture 8"/>
            <wp:cNvGraphicFramePr>
              <a:graphicFrameLocks noChangeAspect="1"/>
            </wp:cNvGraphicFramePr>
            <a:graphic>
              <a:graphicData uri="http://schemas.openxmlformats.org/drawingml/2006/picture">
                <pic:pic>
                  <pic:nvPicPr>
                    <pic:cNvPr id="0" name="fig_3_7_architecture.png"/>
                    <pic:cNvPicPr/>
                  </pic:nvPicPr>
                  <pic:blipFill>
                    <a:blip r:embed="rId17"/>
                    <a:stretch>
                      <a:fillRect/>
                    </a:stretch>
                  </pic:blipFill>
                  <pic:spPr>
                    <a:xfrm>
                      <a:off x="0" y="0"/>
                      <a:ext cx="5303520" cy="3606394"/>
                    </a:xfrm>
                    <a:prstGeom prst="rect"/>
                  </pic:spPr>
                </pic:pic>
              </a:graphicData>
            </a:graphic>
          </wp:inline>
        </w:drawing>
      </w:r>
    </w:p>
    <w:p>
      <w:pPr>
        <w:spacing w:before="40" w:after="240"/>
        <w:jc w:val="center"/>
      </w:pPr>
      <w:r>
        <w:rPr>
          <w:b/>
          <w:color w:val="0F172A"/>
          <w:sz w:val="21"/>
        </w:rPr>
        <w:t>Figure 3.8: System Architecture &amp; Component Diagram of Decoupled AI Services</w:t>
      </w:r>
    </w:p>
    <w:p>
      <w:pPr>
        <w:spacing w:before="200" w:after="80"/>
      </w:pPr>
      <w:r>
        <w:rPr>
          <w:b/>
        </w:rPr>
        <w:t>3.2.9 Deployment Diagram</w:t>
      </w:r>
    </w:p>
    <w:p>
      <w:pPr>
        <w:spacing w:line="360" w:lineRule="auto"/>
        <w:jc w:val="both"/>
      </w:pPr>
      <w:r>
        <w:t>Figure 3.9 illustrates the physical network deployment topology across High Court client browser workstations, FastAPI application server, and isolated PostgreSQL database clusters.</w:t>
      </w:r>
    </w:p>
    <w:p>
      <w:pPr>
        <w:spacing w:before="160" w:after="80"/>
        <w:jc w:val="center"/>
      </w:pPr>
      <w:r>
        <w:drawing>
          <wp:inline xmlns:a="http://schemas.openxmlformats.org/drawingml/2006/main" xmlns:pic="http://schemas.openxmlformats.org/drawingml/2006/picture">
            <wp:extent cx="5303520" cy="3689405"/>
            <wp:docPr id="9" name="Picture 9"/>
            <wp:cNvGraphicFramePr>
              <a:graphicFrameLocks noChangeAspect="1"/>
            </wp:cNvGraphicFramePr>
            <a:graphic>
              <a:graphicData uri="http://schemas.openxmlformats.org/drawingml/2006/picture">
                <pic:pic>
                  <pic:nvPicPr>
                    <pic:cNvPr id="0" name="fig_3_8_deployment.png"/>
                    <pic:cNvPicPr/>
                  </pic:nvPicPr>
                  <pic:blipFill>
                    <a:blip r:embed="rId18"/>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3.9: Physical Deployment Diagram for Court Intranet Infrastructure</w:t>
      </w:r>
    </w:p>
    <w:p>
      <w:pPr>
        <w:spacing w:before="280" w:after="80"/>
      </w:pPr>
      <w:r>
        <w:rPr>
          <w:b/>
          <w:sz w:val="26"/>
        </w:rPr>
        <w:t>3.3 Design Components</w:t>
      </w:r>
    </w:p>
    <w:p>
      <w:pPr>
        <w:spacing w:line="360" w:lineRule="auto" w:after="120"/>
        <w:jc w:val="both"/>
      </w:pPr>
      <w:r>
        <w:t>Lexguard is systematically structured into five independent, cohesive design layers:</w:t>
        <w:br/>
        <w:t>1. Presentation Tier (Zero-Build Frontend): Built with Pure HTML5, Bootstrap 5, jQuery, Chart.js for analytics, and PDF.js for secure canvas-based document rendering without npm/webpack compilation overhead. Adheres to the High Court Red and White design system.</w:t>
        <w:br/>
        <w:t>2. Gateway &amp; Security Middleware Tier: Implements OWASP security headers, double-submit CSRF enforcement, and dependency injection guards for role authentication.</w:t>
        <w:br/>
        <w:t>3. Cryptographic &amp; Audit Tier: Orchestrates client-side Web Crypto API and 64-KB chunked SHA-256 byte hashing, maintaining the 989-block sequentially verified hash-chained ledger.</w:t>
        <w:br/>
        <w:t>4. NLP &amp; Vector Search Tier: Manages domain-adapted InLegalBERT embeddings, Reciprocal Rank Fusion (RRF), and the BNS/BNSS 2023 concordance engine.</w:t>
        <w:br/>
        <w:t>5. Storage &amp; Persistence Tier: Combines PostgreSQL 17 relational and full-text vector indexing with isolated physical file storage for 208 precedent judgments.</w:t>
      </w:r>
    </w:p>
    <w:p>
      <w:pPr>
        <w:spacing w:before="280" w:after="80"/>
      </w:pPr>
      <w:r>
        <w:rPr>
          <w:b/>
          <w:sz w:val="26"/>
        </w:rPr>
        <w:t>3.4 Databases Description</w:t>
      </w:r>
    </w:p>
    <w:p>
      <w:pPr>
        <w:spacing w:line="360" w:lineRule="auto" w:after="120"/>
        <w:jc w:val="both"/>
      </w:pPr>
      <w:r>
        <w:t>The relational database schema is structured to ensure third normal form (3NF) compliance, relational integrity, and cryptographic immutability across all tables.</w:t>
      </w:r>
    </w:p>
    <w:p>
      <w:pPr>
        <w:spacing w:before="160" w:after="60"/>
      </w:pPr>
      <w:r>
        <w:rPr>
          <w:b/>
          <w:sz w:val="22"/>
        </w:rPr>
        <w:t>Table 3.1: User Accounts Table Details (users)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email</w:t>
            </w:r>
          </w:p>
        </w:tc>
        <w:tc>
          <w:tcPr>
            <w:tcW w:type="dxa" w:w="3168"/>
            <w:tcMar>
              <w:top w:w="80" w:type="dxa"/>
              <w:bottom w:w="80" w:type="dxa"/>
              <w:left w:w="100" w:type="dxa"/>
              <w:right w:w="100" w:type="dxa"/>
            </w:tcMar>
            <w:shd w:fill="F8FAFC"/>
          </w:tcPr>
          <w:p>
            <w:pPr>
              <w:spacing w:line="276" w:lineRule="auto"/>
              <w:jc w:val="left"/>
            </w:pPr>
            <w:r>
              <w:rPr>
                <w:sz w:val="19"/>
              </w:rPr>
              <w:t>VARCHAR(255) [UNIQUE]</w:t>
            </w:r>
          </w:p>
        </w:tc>
        <w:tc>
          <w:tcPr>
            <w:tcW w:type="dxa" w:w="3600"/>
            <w:tcMar>
              <w:top w:w="80" w:type="dxa"/>
              <w:bottom w:w="80" w:type="dxa"/>
              <w:left w:w="100" w:type="dxa"/>
              <w:right w:w="100" w:type="dxa"/>
            </w:tcMar>
            <w:shd w:fill="F8FAFC"/>
          </w:tcPr>
          <w:p>
            <w:pPr>
              <w:spacing w:line="276" w:lineRule="auto"/>
              <w:jc w:val="left"/>
            </w:pPr>
            <w:r>
              <w:rPr>
                <w:sz w:val="19"/>
              </w:rPr>
              <w:t>User official email address</w:t>
            </w:r>
          </w:p>
        </w:tc>
      </w:tr>
      <w:tr>
        <w:tc>
          <w:tcPr>
            <w:tcW w:type="dxa" w:w="2592"/>
            <w:tcMar>
              <w:top w:w="80" w:type="dxa"/>
              <w:bottom w:w="80" w:type="dxa"/>
              <w:left w:w="100" w:type="dxa"/>
              <w:right w:w="100" w:type="dxa"/>
            </w:tcMar>
          </w:tcPr>
          <w:p>
            <w:pPr>
              <w:spacing w:line="276" w:lineRule="auto"/>
              <w:jc w:val="left"/>
            </w:pPr>
            <w:r>
              <w:rPr>
                <w:b/>
                <w:sz w:val="19"/>
              </w:rPr>
              <w:t>name</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Full legal name of the user</w:t>
            </w:r>
          </w:p>
        </w:tc>
      </w:tr>
      <w:tr>
        <w:tc>
          <w:tcPr>
            <w:tcW w:type="dxa" w:w="2592"/>
            <w:tcMar>
              <w:top w:w="80" w:type="dxa"/>
              <w:bottom w:w="80" w:type="dxa"/>
              <w:left w:w="100" w:type="dxa"/>
              <w:right w:w="100" w:type="dxa"/>
            </w:tcMar>
            <w:shd w:fill="F8FAFC"/>
          </w:tcPr>
          <w:p>
            <w:pPr>
              <w:spacing w:line="276" w:lineRule="auto"/>
              <w:jc w:val="left"/>
            </w:pPr>
            <w:r>
              <w:rPr>
                <w:b/>
                <w:sz w:val="19"/>
              </w:rPr>
              <w:t>password_hash</w:t>
            </w:r>
          </w:p>
        </w:tc>
        <w:tc>
          <w:tcPr>
            <w:tcW w:type="dxa" w:w="3168"/>
            <w:tcMar>
              <w:top w:w="80" w:type="dxa"/>
              <w:bottom w:w="80" w:type="dxa"/>
              <w:left w:w="100" w:type="dxa"/>
              <w:right w:w="100" w:type="dxa"/>
            </w:tcMar>
            <w:shd w:fill="F8FAFC"/>
          </w:tcPr>
          <w:p>
            <w:pPr>
              <w:spacing w:line="276" w:lineRule="auto"/>
              <w:jc w:val="left"/>
            </w:pPr>
            <w:r>
              <w:rPr>
                <w:sz w:val="19"/>
              </w:rPr>
              <w:t>VARCHAR(255)</w:t>
            </w:r>
          </w:p>
        </w:tc>
        <w:tc>
          <w:tcPr>
            <w:tcW w:type="dxa" w:w="3600"/>
            <w:tcMar>
              <w:top w:w="80" w:type="dxa"/>
              <w:bottom w:w="80" w:type="dxa"/>
              <w:left w:w="100" w:type="dxa"/>
              <w:right w:w="100" w:type="dxa"/>
            </w:tcMar>
            <w:shd w:fill="F8FAFC"/>
          </w:tcPr>
          <w:p>
            <w:pPr>
              <w:spacing w:line="276" w:lineRule="auto"/>
              <w:jc w:val="left"/>
            </w:pPr>
            <w:r>
              <w:rPr>
                <w:sz w:val="19"/>
              </w:rPr>
              <w:t>Bcrypt hashed password (cost factor 12)</w:t>
            </w:r>
          </w:p>
        </w:tc>
      </w:tr>
      <w:tr>
        <w:tc>
          <w:tcPr>
            <w:tcW w:type="dxa" w:w="2592"/>
            <w:tcMar>
              <w:top w:w="80" w:type="dxa"/>
              <w:bottom w:w="80" w:type="dxa"/>
              <w:left w:w="100" w:type="dxa"/>
              <w:right w:w="100" w:type="dxa"/>
            </w:tcMar>
          </w:tcPr>
          <w:p>
            <w:pPr>
              <w:spacing w:line="276" w:lineRule="auto"/>
              <w:jc w:val="left"/>
            </w:pPr>
            <w:r>
              <w:rPr>
                <w:b/>
                <w:sz w:val="19"/>
              </w:rPr>
              <w:t>role</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Assigned role: staff, advocate, scholar, public</w:t>
            </w:r>
          </w:p>
        </w:tc>
      </w:tr>
      <w:tr>
        <w:tc>
          <w:tcPr>
            <w:tcW w:type="dxa" w:w="2592"/>
            <w:tcMar>
              <w:top w:w="80" w:type="dxa"/>
              <w:bottom w:w="80" w:type="dxa"/>
              <w:left w:w="100" w:type="dxa"/>
              <w:right w:w="100" w:type="dxa"/>
            </w:tcMar>
            <w:shd w:fill="F8FAFC"/>
          </w:tcPr>
          <w:p>
            <w:pPr>
              <w:spacing w:line="276" w:lineRule="auto"/>
              <w:jc w:val="left"/>
            </w:pPr>
            <w:r>
              <w:rPr>
                <w:b/>
                <w:sz w:val="19"/>
              </w:rPr>
              <w:t>credential_id</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Bar Council Registration No. / Court ID</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Account status: active, pending, suspended</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account registration</w:t>
            </w:r>
          </w:p>
        </w:tc>
      </w:tr>
    </w:tbl>
    <w:p>
      <w:pPr>
        <w:spacing w:before="160" w:after="60"/>
      </w:pPr>
      <w:r>
        <w:rPr>
          <w:b/>
          <w:sz w:val="22"/>
        </w:rPr>
        <w:t>Table 3.2: Legal Case Master Table Details (cases)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cnr_number</w:t>
            </w:r>
          </w:p>
        </w:tc>
        <w:tc>
          <w:tcPr>
            <w:tcW w:type="dxa" w:w="3168"/>
            <w:tcMar>
              <w:top w:w="80" w:type="dxa"/>
              <w:bottom w:w="80" w:type="dxa"/>
              <w:left w:w="100" w:type="dxa"/>
              <w:right w:w="100" w:type="dxa"/>
            </w:tcMar>
            <w:shd w:fill="F8FAFC"/>
          </w:tcPr>
          <w:p>
            <w:pPr>
              <w:spacing w:line="276" w:lineRule="auto"/>
              <w:jc w:val="left"/>
            </w:pPr>
            <w:r>
              <w:rPr>
                <w:sz w:val="19"/>
              </w:rPr>
              <w:t>VARCHAR(16)</w:t>
            </w:r>
          </w:p>
        </w:tc>
        <w:tc>
          <w:tcPr>
            <w:tcW w:type="dxa" w:w="3600"/>
            <w:tcMar>
              <w:top w:w="80" w:type="dxa"/>
              <w:bottom w:w="80" w:type="dxa"/>
              <w:left w:w="100" w:type="dxa"/>
              <w:right w:w="100" w:type="dxa"/>
            </w:tcMar>
            <w:shd w:fill="F8FAFC"/>
          </w:tcPr>
          <w:p>
            <w:pPr>
              <w:spacing w:line="276" w:lineRule="auto"/>
              <w:jc w:val="left"/>
            </w:pPr>
            <w:r>
              <w:rPr>
                <w:sz w:val="19"/>
              </w:rPr>
              <w:t>Official 16-character Case Number Record</w:t>
            </w:r>
          </w:p>
        </w:tc>
      </w:tr>
      <w:tr>
        <w:tc>
          <w:tcPr>
            <w:tcW w:type="dxa" w:w="2592"/>
            <w:tcMar>
              <w:top w:w="80" w:type="dxa"/>
              <w:bottom w:w="80" w:type="dxa"/>
              <w:left w:w="100" w:type="dxa"/>
              <w:right w:w="100" w:type="dxa"/>
            </w:tcMar>
          </w:tcPr>
          <w:p>
            <w:pPr>
              <w:spacing w:line="276" w:lineRule="auto"/>
              <w:jc w:val="left"/>
            </w:pPr>
            <w:r>
              <w:rPr>
                <w:b/>
                <w:sz w:val="19"/>
              </w:rPr>
              <w:t>case_no</w:t>
            </w:r>
          </w:p>
        </w:tc>
        <w:tc>
          <w:tcPr>
            <w:tcW w:type="dxa" w:w="3168"/>
            <w:tcMar>
              <w:top w:w="80" w:type="dxa"/>
              <w:bottom w:w="80" w:type="dxa"/>
              <w:left w:w="100" w:type="dxa"/>
              <w:right w:w="100" w:type="dxa"/>
            </w:tcMar>
          </w:tcPr>
          <w:p>
            <w:pPr>
              <w:spacing w:line="276" w:lineRule="auto"/>
              <w:jc w:val="left"/>
            </w:pPr>
            <w:r>
              <w:rPr>
                <w:sz w:val="19"/>
              </w:rPr>
              <w:t>VARCHAR(100)</w:t>
            </w:r>
          </w:p>
        </w:tc>
        <w:tc>
          <w:tcPr>
            <w:tcW w:type="dxa" w:w="3600"/>
            <w:tcMar>
              <w:top w:w="80" w:type="dxa"/>
              <w:bottom w:w="80" w:type="dxa"/>
              <w:left w:w="100" w:type="dxa"/>
              <w:right w:w="100" w:type="dxa"/>
            </w:tcMar>
          </w:tcPr>
          <w:p>
            <w:pPr>
              <w:spacing w:line="276" w:lineRule="auto"/>
              <w:jc w:val="left"/>
            </w:pPr>
            <w:r>
              <w:rPr>
                <w:sz w:val="19"/>
              </w:rPr>
              <w:t>Court case identification number</w:t>
            </w:r>
          </w:p>
        </w:tc>
      </w:tr>
      <w:tr>
        <w:tc>
          <w:tcPr>
            <w:tcW w:type="dxa" w:w="2592"/>
            <w:tcMar>
              <w:top w:w="80" w:type="dxa"/>
              <w:bottom w:w="80" w:type="dxa"/>
              <w:left w:w="100" w:type="dxa"/>
              <w:right w:w="100" w:type="dxa"/>
            </w:tcMar>
            <w:shd w:fill="F8FAFC"/>
          </w:tcPr>
          <w:p>
            <w:pPr>
              <w:spacing w:line="276" w:lineRule="auto"/>
              <w:jc w:val="left"/>
            </w:pPr>
            <w:r>
              <w:rPr>
                <w:b/>
                <w:sz w:val="19"/>
              </w:rPr>
              <w:t>title</w:t>
            </w:r>
          </w:p>
        </w:tc>
        <w:tc>
          <w:tcPr>
            <w:tcW w:type="dxa" w:w="3168"/>
            <w:tcMar>
              <w:top w:w="80" w:type="dxa"/>
              <w:bottom w:w="80" w:type="dxa"/>
              <w:left w:w="100" w:type="dxa"/>
              <w:right w:w="100" w:type="dxa"/>
            </w:tcMar>
            <w:shd w:fill="F8FAFC"/>
          </w:tcPr>
          <w:p>
            <w:pPr>
              <w:spacing w:line="276" w:lineRule="auto"/>
              <w:jc w:val="left"/>
            </w:pPr>
            <w:r>
              <w:rPr>
                <w:sz w:val="19"/>
              </w:rPr>
              <w:t>VARCHAR(300)</w:t>
            </w:r>
          </w:p>
        </w:tc>
        <w:tc>
          <w:tcPr>
            <w:tcW w:type="dxa" w:w="3600"/>
            <w:tcMar>
              <w:top w:w="80" w:type="dxa"/>
              <w:bottom w:w="80" w:type="dxa"/>
              <w:left w:w="100" w:type="dxa"/>
              <w:right w:w="100" w:type="dxa"/>
            </w:tcMar>
            <w:shd w:fill="F8FAFC"/>
          </w:tcPr>
          <w:p>
            <w:pPr>
              <w:spacing w:line="276" w:lineRule="auto"/>
              <w:jc w:val="left"/>
            </w:pPr>
            <w:r>
              <w:rPr>
                <w:sz w:val="19"/>
              </w:rPr>
              <w:t>Title of the case (Petitioner vs Respondent)</w:t>
            </w:r>
          </w:p>
        </w:tc>
      </w:tr>
      <w:tr>
        <w:tc>
          <w:tcPr>
            <w:tcW w:type="dxa" w:w="2592"/>
            <w:tcMar>
              <w:top w:w="80" w:type="dxa"/>
              <w:bottom w:w="80" w:type="dxa"/>
              <w:left w:w="100" w:type="dxa"/>
              <w:right w:w="100" w:type="dxa"/>
            </w:tcMar>
          </w:tcPr>
          <w:p>
            <w:pPr>
              <w:spacing w:line="276" w:lineRule="auto"/>
              <w:jc w:val="left"/>
            </w:pPr>
            <w:r>
              <w:rPr>
                <w:b/>
                <w:sz w:val="19"/>
              </w:rPr>
              <w:t>court</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Name of the court (Supreme Court / High Court)</w:t>
            </w:r>
          </w:p>
        </w:tc>
      </w:tr>
      <w:tr>
        <w:tc>
          <w:tcPr>
            <w:tcW w:type="dxa" w:w="2592"/>
            <w:tcMar>
              <w:top w:w="80" w:type="dxa"/>
              <w:bottom w:w="80" w:type="dxa"/>
              <w:left w:w="100" w:type="dxa"/>
              <w:right w:w="100" w:type="dxa"/>
            </w:tcMar>
            <w:shd w:fill="F8FAFC"/>
          </w:tcPr>
          <w:p>
            <w:pPr>
              <w:spacing w:line="276" w:lineRule="auto"/>
              <w:jc w:val="left"/>
            </w:pPr>
            <w:r>
              <w:rPr>
                <w:b/>
                <w:sz w:val="19"/>
              </w:rPr>
              <w:t>year</w:t>
            </w:r>
          </w:p>
        </w:tc>
        <w:tc>
          <w:tcPr>
            <w:tcW w:type="dxa" w:w="3168"/>
            <w:tcMar>
              <w:top w:w="80" w:type="dxa"/>
              <w:bottom w:w="80" w:type="dxa"/>
              <w:left w:w="100" w:type="dxa"/>
              <w:right w:w="100" w:type="dxa"/>
            </w:tcMar>
            <w:shd w:fill="F8FAFC"/>
          </w:tcPr>
          <w:p>
            <w:pPr>
              <w:spacing w:line="276" w:lineRule="auto"/>
              <w:jc w:val="left"/>
            </w:pPr>
            <w:r>
              <w:rPr>
                <w:sz w:val="19"/>
              </w:rPr>
              <w:t>INTEGER</w:t>
            </w:r>
          </w:p>
        </w:tc>
        <w:tc>
          <w:tcPr>
            <w:tcW w:type="dxa" w:w="3600"/>
            <w:tcMar>
              <w:top w:w="80" w:type="dxa"/>
              <w:bottom w:w="80" w:type="dxa"/>
              <w:left w:w="100" w:type="dxa"/>
              <w:right w:w="100" w:type="dxa"/>
            </w:tcMar>
            <w:shd w:fill="F8FAFC"/>
          </w:tcPr>
          <w:p>
            <w:pPr>
              <w:spacing w:line="276" w:lineRule="auto"/>
              <w:jc w:val="left"/>
            </w:pPr>
            <w:r>
              <w:rPr>
                <w:sz w:val="19"/>
              </w:rPr>
              <w:t>Year of the judgment decision</w:t>
            </w:r>
          </w:p>
        </w:tc>
      </w:tr>
      <w:tr>
        <w:tc>
          <w:tcPr>
            <w:tcW w:type="dxa" w:w="2592"/>
            <w:tcMar>
              <w:top w:w="80" w:type="dxa"/>
              <w:bottom w:w="80" w:type="dxa"/>
              <w:left w:w="100" w:type="dxa"/>
              <w:right w:w="100" w:type="dxa"/>
            </w:tcMar>
          </w:tcPr>
          <w:p>
            <w:pPr>
              <w:spacing w:line="276" w:lineRule="auto"/>
              <w:jc w:val="left"/>
            </w:pPr>
            <w:r>
              <w:rPr>
                <w:b/>
                <w:sz w:val="19"/>
              </w:rPr>
              <w:t>judge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Presiding judicial officer / bench name</w:t>
            </w:r>
          </w:p>
        </w:tc>
      </w:tr>
      <w:tr>
        <w:tc>
          <w:tcPr>
            <w:tcW w:type="dxa" w:w="2592"/>
            <w:tcMar>
              <w:top w:w="80" w:type="dxa"/>
              <w:bottom w:w="80" w:type="dxa"/>
              <w:left w:w="100" w:type="dxa"/>
              <w:right w:w="100" w:type="dxa"/>
            </w:tcMar>
            <w:shd w:fill="F8FAFC"/>
          </w:tcPr>
          <w:p>
            <w:pPr>
              <w:spacing w:line="276" w:lineRule="auto"/>
              <w:jc w:val="left"/>
            </w:pPr>
            <w:r>
              <w:rPr>
                <w:b/>
                <w:sz w:val="19"/>
              </w:rPr>
              <w:t>parties</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Party litigant descriptions</w:t>
            </w:r>
          </w:p>
        </w:tc>
      </w:tr>
      <w:tr>
        <w:tc>
          <w:tcPr>
            <w:tcW w:type="dxa" w:w="2592"/>
            <w:tcMar>
              <w:top w:w="80" w:type="dxa"/>
              <w:bottom w:w="80" w:type="dxa"/>
              <w:left w:w="100" w:type="dxa"/>
              <w:right w:w="100" w:type="dxa"/>
            </w:tcMar>
          </w:tcPr>
          <w:p>
            <w:pPr>
              <w:spacing w:line="276" w:lineRule="auto"/>
              <w:jc w:val="left"/>
            </w:pPr>
            <w:r>
              <w:rPr>
                <w:b/>
                <w:sz w:val="19"/>
              </w:rPr>
              <w:t>section_tags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Extracted statutory provisions (e.g. Sec 439)</w:t>
            </w:r>
          </w:p>
        </w:tc>
      </w:tr>
      <w:tr>
        <w:tc>
          <w:tcPr>
            <w:tcW w:type="dxa" w:w="2592"/>
            <w:tcMar>
              <w:top w:w="80" w:type="dxa"/>
              <w:bottom w:w="80" w:type="dxa"/>
              <w:left w:w="100" w:type="dxa"/>
              <w:right w:w="100" w:type="dxa"/>
            </w:tcMar>
            <w:shd w:fill="F8FAFC"/>
          </w:tcPr>
          <w:p>
            <w:pPr>
              <w:spacing w:line="276" w:lineRule="auto"/>
              <w:jc w:val="left"/>
            </w:pPr>
            <w:r>
              <w:rPr>
                <w:b/>
                <w:sz w:val="19"/>
              </w:rPr>
              <w:t>act_tags</w:t>
            </w:r>
          </w:p>
        </w:tc>
        <w:tc>
          <w:tcPr>
            <w:tcW w:type="dxa" w:w="3168"/>
            <w:tcMar>
              <w:top w:w="80" w:type="dxa"/>
              <w:bottom w:w="80" w:type="dxa"/>
              <w:left w:w="100" w:type="dxa"/>
              <w:right w:w="100" w:type="dxa"/>
            </w:tcMar>
            <w:shd w:fill="F8FAFC"/>
          </w:tcPr>
          <w:p>
            <w:pPr>
              <w:spacing w:line="276" w:lineRule="auto"/>
              <w:jc w:val="left"/>
            </w:pPr>
            <w:r>
              <w:rPr>
                <w:sz w:val="19"/>
              </w:rPr>
              <w:t>JSON / TEXT</w:t>
            </w:r>
          </w:p>
        </w:tc>
        <w:tc>
          <w:tcPr>
            <w:tcW w:type="dxa" w:w="3600"/>
            <w:tcMar>
              <w:top w:w="80" w:type="dxa"/>
              <w:bottom w:w="80" w:type="dxa"/>
              <w:left w:w="100" w:type="dxa"/>
              <w:right w:w="100" w:type="dxa"/>
            </w:tcMar>
            <w:shd w:fill="F8FAFC"/>
          </w:tcPr>
          <w:p>
            <w:pPr>
              <w:spacing w:line="276" w:lineRule="auto"/>
              <w:jc w:val="left"/>
            </w:pPr>
            <w:r>
              <w:rPr>
                <w:sz w:val="19"/>
              </w:rPr>
              <w:t>Statute acts (e.g. CrPC, IPC, NI Act, BNS 2023)</w:t>
            </w:r>
          </w:p>
        </w:tc>
      </w:tr>
      <w:tr>
        <w:tc>
          <w:tcPr>
            <w:tcW w:type="dxa" w:w="2592"/>
            <w:tcMar>
              <w:top w:w="80" w:type="dxa"/>
              <w:bottom w:w="80" w:type="dxa"/>
              <w:left w:w="100" w:type="dxa"/>
              <w:right w:w="100" w:type="dxa"/>
            </w:tcMar>
          </w:tcPr>
          <w:p>
            <w:pPr>
              <w:spacing w:line="276" w:lineRule="auto"/>
              <w:jc w:val="left"/>
            </w:pPr>
            <w:r>
              <w:rPr>
                <w:b/>
                <w:sz w:val="19"/>
              </w:rPr>
              <w:t>ratio_decidendi</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Core legal rationale formulated by the court</w:t>
            </w:r>
          </w:p>
        </w:tc>
      </w:tr>
      <w:tr>
        <w:tc>
          <w:tcPr>
            <w:tcW w:type="dxa" w:w="2592"/>
            <w:tcMar>
              <w:top w:w="80" w:type="dxa"/>
              <w:bottom w:w="80" w:type="dxa"/>
              <w:left w:w="100" w:type="dxa"/>
              <w:right w:w="100" w:type="dxa"/>
            </w:tcMar>
            <w:shd w:fill="F8FAFC"/>
          </w:tcPr>
          <w:p>
            <w:pPr>
              <w:spacing w:line="276" w:lineRule="auto"/>
              <w:jc w:val="left"/>
            </w:pPr>
            <w:r>
              <w:rPr>
                <w:b/>
                <w:sz w:val="19"/>
              </w:rPr>
              <w:t>file_path</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Storage path of original PDF document</w:t>
            </w:r>
          </w:p>
        </w:tc>
      </w:tr>
      <w:tr>
        <w:tc>
          <w:tcPr>
            <w:tcW w:type="dxa" w:w="2592"/>
            <w:tcMar>
              <w:top w:w="80" w:type="dxa"/>
              <w:bottom w:w="80" w:type="dxa"/>
              <w:left w:w="100" w:type="dxa"/>
              <w:right w:w="100" w:type="dxa"/>
            </w:tcMar>
          </w:tcPr>
          <w:p>
            <w:pPr>
              <w:spacing w:line="276" w:lineRule="auto"/>
              <w:jc w:val="left"/>
            </w:pPr>
            <w:r>
              <w:rPr>
                <w:b/>
                <w:sz w:val="19"/>
              </w:rPr>
              <w:t>file_hash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byte digest for integrity verification</w:t>
            </w:r>
          </w:p>
        </w:tc>
      </w:tr>
      <w:tr>
        <w:tc>
          <w:tcPr>
            <w:tcW w:type="dxa" w:w="2592"/>
            <w:tcMar>
              <w:top w:w="80" w:type="dxa"/>
              <w:bottom w:w="80" w:type="dxa"/>
              <w:left w:w="100" w:type="dxa"/>
              <w:right w:w="100" w:type="dxa"/>
            </w:tcMar>
            <w:shd w:fill="F8FAFC"/>
          </w:tcPr>
          <w:p>
            <w:pPr>
              <w:spacing w:line="276" w:lineRule="auto"/>
              <w:jc w:val="left"/>
            </w:pPr>
            <w:r>
              <w:rPr>
                <w:b/>
                <w:sz w:val="19"/>
              </w:rPr>
              <w:t>embedding</w:t>
            </w:r>
          </w:p>
        </w:tc>
        <w:tc>
          <w:tcPr>
            <w:tcW w:type="dxa" w:w="3168"/>
            <w:tcMar>
              <w:top w:w="80" w:type="dxa"/>
              <w:bottom w:w="80" w:type="dxa"/>
              <w:left w:w="100" w:type="dxa"/>
              <w:right w:w="100" w:type="dxa"/>
            </w:tcMar>
            <w:shd w:fill="F8FAFC"/>
          </w:tcPr>
          <w:p>
            <w:pPr>
              <w:spacing w:line="276" w:lineRule="auto"/>
              <w:jc w:val="left"/>
            </w:pPr>
            <w:r>
              <w:rPr>
                <w:sz w:val="19"/>
              </w:rPr>
              <w:t>VECTOR(384) / JSON</w:t>
            </w:r>
          </w:p>
        </w:tc>
        <w:tc>
          <w:tcPr>
            <w:tcW w:type="dxa" w:w="3600"/>
            <w:tcMar>
              <w:top w:w="80" w:type="dxa"/>
              <w:bottom w:w="80" w:type="dxa"/>
              <w:left w:w="100" w:type="dxa"/>
              <w:right w:w="100" w:type="dxa"/>
            </w:tcMar>
            <w:shd w:fill="F8FAFC"/>
          </w:tcPr>
          <w:p>
            <w:pPr>
              <w:spacing w:line="276" w:lineRule="auto"/>
              <w:jc w:val="left"/>
            </w:pPr>
            <w:r>
              <w:rPr>
                <w:sz w:val="19"/>
              </w:rPr>
              <w:t>Dense semantic representation vector</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Lifecycle state: pending, published, rejected</w:t>
            </w:r>
          </w:p>
        </w:tc>
      </w:tr>
    </w:tbl>
    <w:p>
      <w:pPr>
        <w:spacing w:before="160" w:after="60"/>
      </w:pPr>
      <w:r>
        <w:rPr>
          <w:b/>
          <w:sz w:val="22"/>
        </w:rPr>
        <w:t>Table 3.3: Document Versioning Details (document_versions)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version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Reference to parent case record</w:t>
            </w:r>
          </w:p>
        </w:tc>
      </w:tr>
      <w:tr>
        <w:tc>
          <w:tcPr>
            <w:tcW w:type="dxa" w:w="2592"/>
            <w:tcMar>
              <w:top w:w="80" w:type="dxa"/>
              <w:bottom w:w="80" w:type="dxa"/>
              <w:left w:w="100" w:type="dxa"/>
              <w:right w:w="100" w:type="dxa"/>
            </w:tcMar>
          </w:tcPr>
          <w:p>
            <w:pPr>
              <w:spacing w:line="276" w:lineRule="auto"/>
              <w:jc w:val="left"/>
            </w:pPr>
            <w:r>
              <w:rPr>
                <w:b/>
                <w:sz w:val="19"/>
              </w:rPr>
              <w:t>version_no</w:t>
            </w:r>
          </w:p>
        </w:tc>
        <w:tc>
          <w:tcPr>
            <w:tcW w:type="dxa" w:w="3168"/>
            <w:tcMar>
              <w:top w:w="80" w:type="dxa"/>
              <w:bottom w:w="80" w:type="dxa"/>
              <w:left w:w="100" w:type="dxa"/>
              <w:right w:w="100" w:type="dxa"/>
            </w:tcMar>
          </w:tcPr>
          <w:p>
            <w:pPr>
              <w:spacing w:line="276" w:lineRule="auto"/>
              <w:jc w:val="left"/>
            </w:pPr>
            <w:r>
              <w:rPr>
                <w:sz w:val="19"/>
              </w:rPr>
              <w:t>INTEGER</w:t>
            </w:r>
          </w:p>
        </w:tc>
        <w:tc>
          <w:tcPr>
            <w:tcW w:type="dxa" w:w="3600"/>
            <w:tcMar>
              <w:top w:w="80" w:type="dxa"/>
              <w:bottom w:w="80" w:type="dxa"/>
              <w:left w:w="100" w:type="dxa"/>
              <w:right w:w="100" w:type="dxa"/>
            </w:tcMar>
          </w:tcPr>
          <w:p>
            <w:pPr>
              <w:spacing w:line="276" w:lineRule="auto"/>
              <w:jc w:val="left"/>
            </w:pPr>
            <w:r>
              <w:rPr>
                <w:sz w:val="19"/>
              </w:rPr>
              <w:t>Sequential version number</w:t>
            </w:r>
          </w:p>
        </w:tc>
      </w:tr>
      <w:tr>
        <w:tc>
          <w:tcPr>
            <w:tcW w:type="dxa" w:w="2592"/>
            <w:tcMar>
              <w:top w:w="80" w:type="dxa"/>
              <w:bottom w:w="80" w:type="dxa"/>
              <w:left w:w="100" w:type="dxa"/>
              <w:right w:w="100" w:type="dxa"/>
            </w:tcMar>
            <w:shd w:fill="F8FAFC"/>
          </w:tcPr>
          <w:p>
            <w:pPr>
              <w:spacing w:line="276" w:lineRule="auto"/>
              <w:jc w:val="left"/>
            </w:pPr>
            <w:r>
              <w:rPr>
                <w:b/>
                <w:sz w:val="19"/>
              </w:rPr>
              <w:t>file_hash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this specific version</w:t>
            </w:r>
          </w:p>
        </w:tc>
      </w:tr>
      <w:tr>
        <w:tc>
          <w:tcPr>
            <w:tcW w:type="dxa" w:w="2592"/>
            <w:tcMar>
              <w:top w:w="80" w:type="dxa"/>
              <w:bottom w:w="80" w:type="dxa"/>
              <w:left w:w="100" w:type="dxa"/>
              <w:right w:w="100" w:type="dxa"/>
            </w:tcMar>
          </w:tcPr>
          <w:p>
            <w:pPr>
              <w:spacing w:line="276" w:lineRule="auto"/>
              <w:jc w:val="left"/>
            </w:pPr>
            <w:r>
              <w:rPr>
                <w:b/>
                <w:sz w:val="19"/>
              </w:rPr>
              <w:t>changed_by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User ID who uploaded the new version</w:t>
            </w:r>
          </w:p>
        </w:tc>
      </w:tr>
      <w:tr>
        <w:tc>
          <w:tcPr>
            <w:tcW w:type="dxa" w:w="2592"/>
            <w:tcMar>
              <w:top w:w="80" w:type="dxa"/>
              <w:bottom w:w="80" w:type="dxa"/>
              <w:left w:w="100" w:type="dxa"/>
              <w:right w:w="100" w:type="dxa"/>
            </w:tcMar>
            <w:shd w:fill="F8FAFC"/>
          </w:tcPr>
          <w:p>
            <w:pPr>
              <w:spacing w:line="276" w:lineRule="auto"/>
              <w:jc w:val="left"/>
            </w:pPr>
            <w:r>
              <w:rPr>
                <w:b/>
                <w:sz w:val="19"/>
              </w:rPr>
              <w:t>changed_at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version modification</w:t>
            </w:r>
          </w:p>
        </w:tc>
      </w:tr>
    </w:tbl>
    <w:p>
      <w:pPr>
        <w:spacing w:before="160" w:after="60"/>
      </w:pPr>
      <w:r>
        <w:rPr>
          <w:b/>
          <w:sz w:val="22"/>
        </w:rPr>
        <w:t>Table 3.4: Hash-Chained Audit Ledger Details (audit_logs)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log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Actor who performed the operation</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Target judicial record (if applicable)</w:t>
            </w:r>
          </w:p>
        </w:tc>
      </w:tr>
      <w:tr>
        <w:tc>
          <w:tcPr>
            <w:tcW w:type="dxa" w:w="2592"/>
            <w:tcMar>
              <w:top w:w="80" w:type="dxa"/>
              <w:bottom w:w="80" w:type="dxa"/>
              <w:left w:w="100" w:type="dxa"/>
              <w:right w:w="100" w:type="dxa"/>
            </w:tcMar>
            <w:shd w:fill="F8FAFC"/>
          </w:tcPr>
          <w:p>
            <w:pPr>
              <w:spacing w:line="276" w:lineRule="auto"/>
              <w:jc w:val="left"/>
            </w:pPr>
            <w:r>
              <w:rPr>
                <w:b/>
                <w:sz w:val="19"/>
              </w:rPr>
              <w:t>action</w:t>
            </w:r>
          </w:p>
        </w:tc>
        <w:tc>
          <w:tcPr>
            <w:tcW w:type="dxa" w:w="3168"/>
            <w:tcMar>
              <w:top w:w="80" w:type="dxa"/>
              <w:bottom w:w="80" w:type="dxa"/>
              <w:left w:w="100" w:type="dxa"/>
              <w:right w:w="100" w:type="dxa"/>
            </w:tcMar>
            <w:shd w:fill="F8FAFC"/>
          </w:tcPr>
          <w:p>
            <w:pPr>
              <w:spacing w:line="276" w:lineRule="auto"/>
              <w:jc w:val="left"/>
            </w:pPr>
            <w:r>
              <w:rPr>
                <w:sz w:val="19"/>
              </w:rPr>
              <w:t>VARCHAR(50)</w:t>
            </w:r>
          </w:p>
        </w:tc>
        <w:tc>
          <w:tcPr>
            <w:tcW w:type="dxa" w:w="3600"/>
            <w:tcMar>
              <w:top w:w="80" w:type="dxa"/>
              <w:bottom w:w="80" w:type="dxa"/>
              <w:left w:w="100" w:type="dxa"/>
              <w:right w:w="100" w:type="dxa"/>
            </w:tcMar>
            <w:shd w:fill="F8FAFC"/>
          </w:tcPr>
          <w:p>
            <w:pPr>
              <w:spacing w:line="276" w:lineRule="auto"/>
              <w:jc w:val="left"/>
            </w:pPr>
            <w:r>
              <w:rPr>
                <w:sz w:val="19"/>
              </w:rPr>
              <w:t>Action: LOGIN, UPLOAD, APPROVE, VIEW, VERIFY</w:t>
            </w:r>
          </w:p>
        </w:tc>
      </w:tr>
      <w:tr>
        <w:tc>
          <w:tcPr>
            <w:tcW w:type="dxa" w:w="2592"/>
            <w:tcMar>
              <w:top w:w="80" w:type="dxa"/>
              <w:bottom w:w="80" w:type="dxa"/>
              <w:left w:w="100" w:type="dxa"/>
              <w:right w:w="100" w:type="dxa"/>
            </w:tcMar>
          </w:tcPr>
          <w:p>
            <w:pPr>
              <w:spacing w:line="276" w:lineRule="auto"/>
              <w:jc w:val="left"/>
            </w:pPr>
            <w:r>
              <w:rPr>
                <w:b/>
                <w:sz w:val="19"/>
              </w:rPr>
              <w:t>details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Specific context or search parameters</w:t>
            </w:r>
          </w:p>
        </w:tc>
      </w:tr>
      <w:tr>
        <w:tc>
          <w:tcPr>
            <w:tcW w:type="dxa" w:w="2592"/>
            <w:tcMar>
              <w:top w:w="80" w:type="dxa"/>
              <w:bottom w:w="80" w:type="dxa"/>
              <w:left w:w="100" w:type="dxa"/>
              <w:right w:w="100" w:type="dxa"/>
            </w:tcMar>
            <w:shd w:fill="F8FAFC"/>
          </w:tcPr>
          <w:p>
            <w:pPr>
              <w:spacing w:line="276" w:lineRule="auto"/>
              <w:jc w:val="left"/>
            </w:pPr>
            <w:r>
              <w:rPr>
                <w:b/>
                <w:sz w:val="19"/>
              </w:rPr>
              <w:t>ip_address</w:t>
            </w:r>
          </w:p>
        </w:tc>
        <w:tc>
          <w:tcPr>
            <w:tcW w:type="dxa" w:w="3168"/>
            <w:tcMar>
              <w:top w:w="80" w:type="dxa"/>
              <w:bottom w:w="80" w:type="dxa"/>
              <w:left w:w="100" w:type="dxa"/>
              <w:right w:w="100" w:type="dxa"/>
            </w:tcMar>
            <w:shd w:fill="F8FAFC"/>
          </w:tcPr>
          <w:p>
            <w:pPr>
              <w:spacing w:line="276" w:lineRule="auto"/>
              <w:jc w:val="left"/>
            </w:pPr>
            <w:r>
              <w:rPr>
                <w:sz w:val="19"/>
              </w:rPr>
              <w:t>VARCHAR(45)</w:t>
            </w:r>
          </w:p>
        </w:tc>
        <w:tc>
          <w:tcPr>
            <w:tcW w:type="dxa" w:w="3600"/>
            <w:tcMar>
              <w:top w:w="80" w:type="dxa"/>
              <w:bottom w:w="80" w:type="dxa"/>
              <w:left w:w="100" w:type="dxa"/>
              <w:right w:w="100" w:type="dxa"/>
            </w:tcMar>
            <w:shd w:fill="F8FAFC"/>
          </w:tcPr>
          <w:p>
            <w:pPr>
              <w:spacing w:line="276" w:lineRule="auto"/>
              <w:jc w:val="left"/>
            </w:pPr>
            <w:r>
              <w:rPr>
                <w:sz w:val="19"/>
              </w:rPr>
              <w:t>Client IP address for non-repudiation</w:t>
            </w:r>
          </w:p>
        </w:tc>
      </w:tr>
      <w:tr>
        <w:tc>
          <w:tcPr>
            <w:tcW w:type="dxa" w:w="2592"/>
            <w:tcMar>
              <w:top w:w="80" w:type="dxa"/>
              <w:bottom w:w="80" w:type="dxa"/>
              <w:left w:w="100" w:type="dxa"/>
              <w:right w:w="100" w:type="dxa"/>
            </w:tcMar>
          </w:tcPr>
          <w:p>
            <w:pPr>
              <w:spacing w:line="276" w:lineRule="auto"/>
              <w:jc w:val="left"/>
            </w:pPr>
            <w:r>
              <w:rPr>
                <w:b/>
                <w:sz w:val="19"/>
              </w:rPr>
              <w:t>timestamp</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UTC timestamp of the action</w:t>
            </w:r>
          </w:p>
        </w:tc>
      </w:tr>
      <w:tr>
        <w:tc>
          <w:tcPr>
            <w:tcW w:type="dxa" w:w="2592"/>
            <w:tcMar>
              <w:top w:w="80" w:type="dxa"/>
              <w:bottom w:w="80" w:type="dxa"/>
              <w:left w:w="100" w:type="dxa"/>
              <w:right w:w="100" w:type="dxa"/>
            </w:tcMar>
            <w:shd w:fill="F8FAFC"/>
          </w:tcPr>
          <w:p>
            <w:pPr>
              <w:spacing w:line="276" w:lineRule="auto"/>
              <w:jc w:val="left"/>
            </w:pPr>
            <w:r>
              <w:rPr>
                <w:b/>
                <w:sz w:val="19"/>
              </w:rPr>
              <w:t>previous_log_hash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preceding ledger block</w:t>
            </w:r>
          </w:p>
        </w:tc>
      </w:tr>
      <w:tr>
        <w:tc>
          <w:tcPr>
            <w:tcW w:type="dxa" w:w="2592"/>
            <w:tcMar>
              <w:top w:w="80" w:type="dxa"/>
              <w:bottom w:w="80" w:type="dxa"/>
              <w:left w:w="100" w:type="dxa"/>
              <w:right w:w="100" w:type="dxa"/>
            </w:tcMar>
          </w:tcPr>
          <w:p>
            <w:pPr>
              <w:spacing w:line="276" w:lineRule="auto"/>
              <w:jc w:val="left"/>
            </w:pPr>
            <w:r>
              <w:rPr>
                <w:b/>
                <w:sz w:val="19"/>
              </w:rPr>
              <w:t>current_hash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of previous_hash + current record data</w:t>
            </w:r>
          </w:p>
        </w:tc>
      </w:tr>
    </w:tbl>
    <w:p>
      <w:pPr>
        <w:spacing w:before="160" w:after="60"/>
      </w:pPr>
      <w:r>
        <w:rPr>
          <w:b/>
          <w:sz w:val="22"/>
        </w:rPr>
        <w:t>Table 3.5: Case Approval Queue Details (approval_queue)</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queue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Case submitted for administrative review</w:t>
            </w:r>
          </w:p>
        </w:tc>
      </w:tr>
      <w:tr>
        <w:tc>
          <w:tcPr>
            <w:tcW w:type="dxa" w:w="2592"/>
            <w:tcMar>
              <w:top w:w="80" w:type="dxa"/>
              <w:bottom w:w="80" w:type="dxa"/>
              <w:left w:w="100" w:type="dxa"/>
              <w:right w:w="100" w:type="dxa"/>
            </w:tcMar>
          </w:tcPr>
          <w:p>
            <w:pPr>
              <w:spacing w:line="276" w:lineRule="auto"/>
              <w:jc w:val="left"/>
            </w:pPr>
            <w:r>
              <w:rPr>
                <w:b/>
                <w:sz w:val="19"/>
              </w:rPr>
              <w:t>submitted_by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Junior staff who ingested the case</w:t>
            </w:r>
          </w:p>
        </w:tc>
      </w:tr>
      <w:tr>
        <w:tc>
          <w:tcPr>
            <w:tcW w:type="dxa" w:w="2592"/>
            <w:tcMar>
              <w:top w:w="80" w:type="dxa"/>
              <w:bottom w:w="80" w:type="dxa"/>
              <w:left w:w="100" w:type="dxa"/>
              <w:right w:w="100" w:type="dxa"/>
            </w:tcMar>
            <w:shd w:fill="F8FAFC"/>
          </w:tcPr>
          <w:p>
            <w:pPr>
              <w:spacing w:line="276" w:lineRule="auto"/>
              <w:jc w:val="left"/>
            </w:pPr>
            <w:r>
              <w:rPr>
                <w:b/>
                <w:sz w:val="19"/>
              </w:rPr>
              <w:t>reviewed_by</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Senior staff who performed review</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Status: pending, approved, rejected</w:t>
            </w:r>
          </w:p>
        </w:tc>
      </w:tr>
      <w:tr>
        <w:tc>
          <w:tcPr>
            <w:tcW w:type="dxa" w:w="2592"/>
            <w:tcMar>
              <w:top w:w="80" w:type="dxa"/>
              <w:bottom w:w="80" w:type="dxa"/>
              <w:left w:w="100" w:type="dxa"/>
              <w:right w:w="100" w:type="dxa"/>
            </w:tcMar>
            <w:shd w:fill="F8FAFC"/>
          </w:tcPr>
          <w:p>
            <w:pPr>
              <w:spacing w:line="276" w:lineRule="auto"/>
              <w:jc w:val="left"/>
            </w:pPr>
            <w:r>
              <w:rPr>
                <w:b/>
                <w:sz w:val="19"/>
              </w:rPr>
              <w:t>review_note</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Remarks or rejection reason from senior staff</w:t>
            </w:r>
          </w:p>
        </w:tc>
      </w:tr>
      <w:tr>
        <w:tc>
          <w:tcPr>
            <w:tcW w:type="dxa" w:w="2592"/>
            <w:tcMar>
              <w:top w:w="80" w:type="dxa"/>
              <w:bottom w:w="80" w:type="dxa"/>
              <w:left w:w="100" w:type="dxa"/>
              <w:right w:w="100" w:type="dxa"/>
            </w:tcMar>
          </w:tcPr>
          <w:p>
            <w:pPr>
              <w:spacing w:line="276" w:lineRule="auto"/>
              <w:jc w:val="left"/>
            </w:pPr>
            <w:r>
              <w:rPr>
                <w:b/>
                <w:sz w:val="19"/>
              </w:rPr>
              <w:t>reviewed_at</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Timestamp of administrative review decision</w:t>
            </w:r>
          </w:p>
        </w:tc>
      </w:tr>
    </w:tbl>
    <w:p>
      <w:pPr>
        <w:spacing w:before="160" w:after="60"/>
      </w:pPr>
      <w:r>
        <w:rPr>
          <w:b/>
          <w:sz w:val="22"/>
        </w:rPr>
        <w:t>Table 3.6: Advocate Bookmarks &amp; Binders Details (bookmarks)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bookmark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owner</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Referenced legal case record</w:t>
            </w:r>
          </w:p>
        </w:tc>
      </w:tr>
      <w:tr>
        <w:tc>
          <w:tcPr>
            <w:tcW w:type="dxa" w:w="2592"/>
            <w:tcMar>
              <w:top w:w="80" w:type="dxa"/>
              <w:bottom w:w="80" w:type="dxa"/>
              <w:left w:w="100" w:type="dxa"/>
              <w:right w:w="100" w:type="dxa"/>
            </w:tcMar>
            <w:shd w:fill="F8FAFC"/>
          </w:tcPr>
          <w:p>
            <w:pPr>
              <w:spacing w:line="276" w:lineRule="auto"/>
              <w:jc w:val="left"/>
            </w:pPr>
            <w:r>
              <w:rPr>
                <w:b/>
                <w:sz w:val="19"/>
              </w:rPr>
              <w:t>folder_name</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Litigation binder or client folder category</w:t>
            </w:r>
          </w:p>
        </w:tc>
      </w:tr>
      <w:tr>
        <w:tc>
          <w:tcPr>
            <w:tcW w:type="dxa" w:w="2592"/>
            <w:tcMar>
              <w:top w:w="80" w:type="dxa"/>
              <w:bottom w:w="80" w:type="dxa"/>
              <w:left w:w="100" w:type="dxa"/>
              <w:right w:w="100" w:type="dxa"/>
            </w:tcMar>
          </w:tcPr>
          <w:p>
            <w:pPr>
              <w:spacing w:line="276" w:lineRule="auto"/>
              <w:jc w:val="left"/>
            </w:pPr>
            <w:r>
              <w:rPr>
                <w:b/>
                <w:sz w:val="19"/>
              </w:rPr>
              <w:t>notes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Personal research annotations added by user</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bookmark creation</w:t>
            </w:r>
          </w:p>
        </w:tc>
      </w:tr>
    </w:tbl>
    <w:p>
      <w:pPr>
        <w:spacing w:before="160" w:after="60"/>
      </w:pPr>
      <w:r>
        <w:rPr>
          <w:b/>
          <w:sz w:val="22"/>
        </w:rPr>
        <w:t>Table 3.7: Draft Assistant Sessions Details (draft_sessions)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draft workspace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author</w:t>
            </w:r>
          </w:p>
        </w:tc>
      </w:tr>
      <w:tr>
        <w:tc>
          <w:tcPr>
            <w:tcW w:type="dxa" w:w="2592"/>
            <w:tcMar>
              <w:top w:w="80" w:type="dxa"/>
              <w:bottom w:w="80" w:type="dxa"/>
              <w:left w:w="100" w:type="dxa"/>
              <w:right w:w="100" w:type="dxa"/>
            </w:tcMar>
          </w:tcPr>
          <w:p>
            <w:pPr>
              <w:spacing w:line="276" w:lineRule="auto"/>
              <w:jc w:val="left"/>
            </w:pPr>
            <w:r>
              <w:rPr>
                <w:b/>
                <w:sz w:val="19"/>
              </w:rPr>
              <w:t>title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Petition draft working title</w:t>
            </w:r>
          </w:p>
        </w:tc>
      </w:tr>
      <w:tr>
        <w:tc>
          <w:tcPr>
            <w:tcW w:type="dxa" w:w="2592"/>
            <w:tcMar>
              <w:top w:w="80" w:type="dxa"/>
              <w:bottom w:w="80" w:type="dxa"/>
              <w:left w:w="100" w:type="dxa"/>
              <w:right w:w="100" w:type="dxa"/>
            </w:tcMar>
            <w:shd w:fill="F8FAFC"/>
          </w:tcPr>
          <w:p>
            <w:pPr>
              <w:spacing w:line="276" w:lineRule="auto"/>
              <w:jc w:val="left"/>
            </w:pPr>
            <w:r>
              <w:rPr>
                <w:b/>
                <w:sz w:val="19"/>
              </w:rPr>
              <w:t>draft_text</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Full petition text under drafting</w:t>
            </w:r>
          </w:p>
        </w:tc>
      </w:tr>
      <w:tr>
        <w:tc>
          <w:tcPr>
            <w:tcW w:type="dxa" w:w="2592"/>
            <w:tcMar>
              <w:top w:w="80" w:type="dxa"/>
              <w:bottom w:w="80" w:type="dxa"/>
              <w:left w:w="100" w:type="dxa"/>
              <w:right w:w="100" w:type="dxa"/>
            </w:tcMar>
          </w:tcPr>
          <w:p>
            <w:pPr>
              <w:spacing w:line="276" w:lineRule="auto"/>
              <w:jc w:val="left"/>
            </w:pPr>
            <w:r>
              <w:rPr>
                <w:b/>
                <w:sz w:val="19"/>
              </w:rPr>
              <w:t>inserted_citations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List of verified case citations inserted</w:t>
            </w:r>
          </w:p>
        </w:tc>
      </w:tr>
      <w:tr>
        <w:tc>
          <w:tcPr>
            <w:tcW w:type="dxa" w:w="2592"/>
            <w:tcMar>
              <w:top w:w="80" w:type="dxa"/>
              <w:bottom w:w="80" w:type="dxa"/>
              <w:left w:w="100" w:type="dxa"/>
              <w:right w:w="100" w:type="dxa"/>
            </w:tcMar>
            <w:shd w:fill="F8FAFC"/>
          </w:tcPr>
          <w:p>
            <w:pPr>
              <w:spacing w:line="276" w:lineRule="auto"/>
              <w:jc w:val="left"/>
            </w:pPr>
            <w:r>
              <w:rPr>
                <w:b/>
                <w:sz w:val="19"/>
              </w:rPr>
              <w:t>last_updated</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last auto-save</w:t>
            </w:r>
          </w:p>
        </w:tc>
      </w:tr>
    </w:tbl>
    <w:p>
      <w:pPr>
        <w:spacing w:before="280" w:after="80"/>
      </w:pPr>
      <w:r>
        <w:rPr>
          <w:b/>
          <w:sz w:val="26"/>
        </w:rPr>
        <w:t>3.5 User Interface Design</w:t>
      </w:r>
    </w:p>
    <w:p>
      <w:pPr>
        <w:spacing w:line="360" w:lineRule="auto" w:after="120"/>
        <w:jc w:val="both"/>
      </w:pPr>
      <w:r>
        <w:t>The Lexguard interface is designed adhering to rigorous User-Centered Design (UCD) guidelines for legal and judicial professionals:</w:t>
        <w:br/>
        <w:t>• Unified Role Authentication View: Role-aware login cards restricting staff, advocate, scholar, and public capabilities.</w:t>
      </w:r>
    </w:p>
    <w:p>
      <w:pPr>
        <w:spacing w:before="160" w:after="80"/>
        <w:jc w:val="center"/>
      </w:pPr>
      <w:r>
        <w:drawing>
          <wp:inline xmlns:a="http://schemas.openxmlformats.org/drawingml/2006/main" xmlns:pic="http://schemas.openxmlformats.org/drawingml/2006/picture">
            <wp:extent cx="5303520" cy="3388360"/>
            <wp:docPr id="10" name="Picture 10"/>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3.10: User Login and Secure Role-Based Authentication Interface</w:t>
      </w:r>
    </w:p>
    <w:p>
      <w:pPr>
        <w:spacing w:line="360" w:lineRule="auto" w:after="120"/>
        <w:jc w:val="both"/>
      </w:pPr>
      <w:r>
        <w:t>• Advocate Registration &amp; Bar ID Verification: Specialized enrolment flow capturing advocate credentials, bar council registration, and security credentials.</w:t>
      </w:r>
    </w:p>
    <w:p>
      <w:pPr>
        <w:spacing w:before="160" w:after="80"/>
        <w:jc w:val="center"/>
      </w:pPr>
      <w:r>
        <w:drawing>
          <wp:inline xmlns:a="http://schemas.openxmlformats.org/drawingml/2006/main" xmlns:pic="http://schemas.openxmlformats.org/drawingml/2006/picture">
            <wp:extent cx="5303520" cy="3388360"/>
            <wp:docPr id="11" name="Picture 11"/>
            <wp:cNvGraphicFramePr>
              <a:graphicFrameLocks noChangeAspect="1"/>
            </wp:cNvGraphicFramePr>
            <a:graphic>
              <a:graphicData uri="http://schemas.openxmlformats.org/drawingml/2006/picture">
                <pic:pic>
                  <pic:nvPicPr>
                    <pic:cNvPr id="0" name="html_02_register.png"/>
                    <pic:cNvPicPr/>
                  </pic:nvPicPr>
                  <pic:blipFill>
                    <a:blip r:embed="rId2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3.11: Advocate User Registration &amp; Bar Council Verification Interface</w:t>
      </w:r>
    </w:p>
    <w:p>
      <w:pPr>
        <w:spacing w:line="360" w:lineRule="auto" w:after="120"/>
        <w:jc w:val="both"/>
      </w:pPr>
      <w:r>
        <w:t>• Senior Staff CIS Review Workstation: Split-screen interface presenting extracted metadata beside an embedded PDF viewer with one-click Approve/Reject action triggers.</w:t>
      </w:r>
    </w:p>
    <w:p>
      <w:pPr>
        <w:spacing w:before="160" w:after="80"/>
        <w:jc w:val="center"/>
      </w:pPr>
      <w:r>
        <w:drawing>
          <wp:inline xmlns:a="http://schemas.openxmlformats.org/drawingml/2006/main" xmlns:pic="http://schemas.openxmlformats.org/drawingml/2006/picture">
            <wp:extent cx="5303520" cy="3388360"/>
            <wp:docPr id="12" name="Picture 12"/>
            <wp:cNvGraphicFramePr>
              <a:graphicFrameLocks noChangeAspect="1"/>
            </wp:cNvGraphicFramePr>
            <a:graphic>
              <a:graphicData uri="http://schemas.openxmlformats.org/drawingml/2006/picture">
                <pic:pic>
                  <pic:nvPicPr>
                    <pic:cNvPr id="0" name="html_06_case_review_split.png"/>
                    <pic:cNvPicPr/>
                  </pic:nvPicPr>
                  <pic:blipFill>
                    <a:blip r:embed="rId21"/>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3.12: Senior Court Staff Approval Queue and Metadata Verification Panel</w:t>
      </w:r>
    </w:p>
    <w:p>
      <w:pPr>
        <w:spacing w:before="280" w:after="80"/>
      </w:pPr>
      <w:r>
        <w:rPr>
          <w:b/>
          <w:sz w:val="26"/>
        </w:rPr>
        <w:t>3.6 Low Level Design (LLD)</w:t>
      </w:r>
    </w:p>
    <w:p>
      <w:pPr>
        <w:spacing w:line="360" w:lineRule="auto" w:after="120"/>
        <w:jc w:val="both"/>
      </w:pPr>
      <w:r>
        <w:t>The Low-Level Design defines the core mathematical algorithms, chunking procedures, and cryptographic formulation implemented in the system.</w:t>
      </w:r>
    </w:p>
    <w:p>
      <w:pPr>
        <w:spacing w:before="160" w:after="80"/>
      </w:pPr>
      <w:r>
        <w:rPr>
          <w:b/>
          <w:sz w:val="24"/>
        </w:rPr>
        <w:t>3.6.1 Document SHA-256 Cryptographic Hashing Routine</w:t>
      </w:r>
    </w:p>
    <w:p>
      <w:pPr>
        <w:spacing w:line="312" w:lineRule="auto" w:after="120"/>
        <w:jc w:val="both"/>
      </w:pPr>
      <w:r>
        <w:t>To handle large court records (e.g., 50+ page judgments) without causing memory spikes on concurrent reads, the file streaming pipeline hashes documents in discrete 64 KB (65,536 bytes) chunks:</w:t>
        <w:br/>
        <w:br/>
        <w:t>Algorithm 3.1: Chunked SHA-256 Ingestion Routine</w:t>
        <w:br/>
        <w:t>Input: file_path (Path to PDF document)</w:t>
        <w:br/>
        <w:t>Output: sha256_hex (64-character hexadecimal digest)</w:t>
        <w:br/>
        <w:t>1. Initialize sha256 = hashlib.sha256()</w:t>
        <w:br/>
        <w:t>2. Open file_path in binary read mode ('rb')</w:t>
        <w:br/>
        <w:t>3. While chunk := file.read(65536) is not empty:</w:t>
        <w:br/>
        <w:t>4.     sha256.update(chunk)</w:t>
        <w:br/>
        <w:t>5. Return sha256.hexdigest()</w:t>
        <w:br/>
        <w:br/>
        <w:t>This guarantees an O(N) linear time complexity where N is the total byte size, while maintaining O(1) constant 64 KB memory space.</w:t>
      </w:r>
    </w:p>
    <w:p>
      <w:pPr>
        <w:spacing w:before="160" w:after="80"/>
      </w:pPr>
      <w:r>
        <w:rPr>
          <w:b/>
          <w:sz w:val="24"/>
        </w:rPr>
        <w:t>3.6.2 Hash-Chained Audit Ledger Mathematical Formulation</w:t>
      </w:r>
    </w:p>
    <w:p>
      <w:pPr>
        <w:spacing w:line="312" w:lineRule="auto" w:after="120"/>
        <w:jc w:val="both"/>
      </w:pPr>
      <w:r>
        <w:t>The cryptographic integrity of the audit ledger is maintained through sequential hash linking. For each transaction block T_i at timestamp t_i:</w:t>
        <w:br/>
        <w:br/>
        <w:t>H_0 = SHA256('GENESIS_BLOCK_LEXGUARD_2026')</w:t>
        <w:br/>
        <w:t>H_i = SHA256(H_(i-1) || U_i || A_i || C_i || t_i || IP_i)</w:t>
        <w:br/>
        <w:br/>
        <w:t>Where:</w:t>
        <w:br/>
        <w:t>• H_(i-1) is the 64-character SHA-256 hash of the preceding audit record.</w:t>
        <w:br/>
        <w:t>• U_i is the unique User Identifier.</w:t>
        <w:br/>
        <w:t>• A_i is the action performed (LOGIN, UPLOAD, APPROVE, VIEW, VERIFY).</w:t>
        <w:br/>
        <w:t>• C_i is the Case ID (if applicable).</w:t>
        <w:br/>
        <w:t>• t_i is the ISO-8601 UTC timestamp.</w:t>
        <w:br/>
        <w:t>• IP_i is the client IP address.</w:t>
        <w:br/>
        <w:br/>
        <w:t>If an attacker alters any field in record k, H_k changes, immediately invalidating the equality H_(k+1) = SHA256(H_k || ...) for all subsequent records across the 989-block chain.</w:t>
      </w:r>
    </w:p>
    <w:p>
      <w:pPr>
        <w:spacing w:before="160" w:after="80"/>
      </w:pPr>
      <w:r>
        <w:rPr>
          <w:b/>
          <w:sz w:val="24"/>
        </w:rPr>
        <w:t>3.6.3 Precedent Reciprocal Rank Fusion (RRF) Formulation</w:t>
      </w:r>
    </w:p>
    <w:p>
      <w:pPr>
        <w:spacing w:line="312" w:lineRule="auto" w:after="120"/>
        <w:jc w:val="both"/>
      </w:pPr>
      <w:r>
        <w:t>To rank case precedents across dense semantic embeddings and sparse full-text search, Lexguard implements Reciprocal Rank Fusion:</w:t>
        <w:br/>
        <w:br/>
        <w:t>RRF_Score(d) = SUM_{m in M} [ 1 / (k + rank_m(d)) ]</w:t>
        <w:br/>
        <w:br/>
        <w:t>Where:</w:t>
        <w:br/>
        <w:t>• M = {Dense InLegalBERT Semantic Retrieval, PostgreSQL tsvector Full-Text Retrieval}</w:t>
        <w:br/>
        <w:t>• rank_m(d) is the ordinal rank position of judgment d in ranking system m</w:t>
        <w:br/>
        <w:t>• k is the smoothing constant (empirically set to 60)</w:t>
        <w:br/>
        <w:br/>
        <w:t>This guarantees robust retrieval when either semantic concepts or exact statutory sections dominate the user query.</w:t>
      </w:r>
    </w:p>
    <w:p>
      <w:r>
        <w:br w:type="page"/>
      </w:r>
    </w:p>
    <w:p>
      <w:pPr>
        <w:spacing w:before="240" w:after="80"/>
        <w:jc w:val="center"/>
      </w:pPr>
      <w:r>
        <w:rPr>
          <w:b/>
          <w:sz w:val="32"/>
        </w:rPr>
        <w:t>CHAPTER 4</w:t>
        <w:br/>
        <w:t>SYSTEM IMPLEMENTATION</w:t>
      </w:r>
    </w:p>
    <w:p>
      <w:pPr>
        <w:spacing w:before="280" w:after="80"/>
      </w:pPr>
      <w:r>
        <w:rPr>
          <w:b/>
          <w:sz w:val="26"/>
        </w:rPr>
        <w:t>4.1 Authentication &amp; Authorized Portal Implementation</w:t>
      </w:r>
    </w:p>
    <w:p>
      <w:pPr>
        <w:spacing w:line="360" w:lineRule="auto" w:after="120"/>
        <w:jc w:val="both"/>
      </w:pPr>
      <w:r>
        <w:t>User authentication and authorization within Lexguard are constructed strictly under OWASP ASVS guidelines. User passwords are encrypted using BCrypt with an adaptive work factor of 12. Upon successful authentication, the FastAPI backend issues an HMAC-SHA256 signed JWT session token delivered via an HttpOnly, SameSite=Lax cookie. The High Court 10-Service portal layout is illustrated in Figure 4.1.</w:t>
      </w:r>
    </w:p>
    <w:p>
      <w:pPr>
        <w:spacing w:before="160" w:after="80"/>
        <w:jc w:val="center"/>
      </w:pPr>
      <w:r>
        <w:drawing>
          <wp:inline xmlns:a="http://schemas.openxmlformats.org/drawingml/2006/main" xmlns:pic="http://schemas.openxmlformats.org/drawingml/2006/picture">
            <wp:extent cx="5303520" cy="3388360"/>
            <wp:docPr id="13" name="Picture 13"/>
            <wp:cNvGraphicFramePr>
              <a:graphicFrameLocks noChangeAspect="1"/>
            </wp:cNvGraphicFramePr>
            <a:graphic>
              <a:graphicData uri="http://schemas.openxmlformats.org/drawingml/2006/picture">
                <pic:pic>
                  <pic:nvPicPr>
                    <pic:cNvPr id="0" name="html_00_landing.png"/>
                    <pic:cNvPicPr/>
                  </pic:nvPicPr>
                  <pic:blipFill>
                    <a:blip r:embed="rId22"/>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4.1: High Court Authorized Portal Landing Interface &amp; 10-Service Grid</w:t>
      </w:r>
    </w:p>
    <w:p>
      <w:pPr>
        <w:spacing w:line="360" w:lineRule="auto" w:after="120"/>
        <w:jc w:val="both"/>
      </w:pPr>
      <w:r>
        <w:t>In addition to core research portals, Lexguard integrates the Madras High Court Daily Cause List Tracker, as displayed in Figure 4.2. Advocates can monitor courtroom serial numbers, bench compositions, and real-time hearing transitions.</w:t>
      </w:r>
    </w:p>
    <w:p>
      <w:pPr>
        <w:spacing w:before="160" w:after="80"/>
        <w:jc w:val="center"/>
      </w:pPr>
      <w:r>
        <w:drawing>
          <wp:inline xmlns:a="http://schemas.openxmlformats.org/drawingml/2006/main" xmlns:pic="http://schemas.openxmlformats.org/drawingml/2006/picture">
            <wp:extent cx="5303520" cy="3388360"/>
            <wp:docPr id="14" name="Picture 14"/>
            <wp:cNvGraphicFramePr>
              <a:graphicFrameLocks noChangeAspect="1"/>
            </wp:cNvGraphicFramePr>
            <a:graphic>
              <a:graphicData uri="http://schemas.openxmlformats.org/drawingml/2006/picture">
                <pic:pic>
                  <pic:nvPicPr>
                    <pic:cNvPr id="0" name="html_11_cause_list.png"/>
                    <pic:cNvPicPr/>
                  </pic:nvPicPr>
                  <pic:blipFill>
                    <a:blip r:embed="rId23"/>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4.2: Madras High Court Daily Cause List Live Hearing Status Tracker</w:t>
      </w:r>
    </w:p>
    <w:p>
      <w:pPr>
        <w:spacing w:before="80" w:after="160" w:line="240" w:lineRule="auto"/>
      </w:pPr>
      <w:r>
        <w:rPr>
          <w:rFonts w:ascii="Courier New" w:hAnsi="Courier New"/>
          <w:sz w:val="17"/>
        </w:rPr>
        <w:t># RBAC Route Protection in FastAPI</w:t>
        <w:br/>
        <w:t>def require_role(allowed_roles: list[str]):</w:t>
        <w:br/>
        <w:t xml:space="preserve">    def role_checker(current_user: User = Depends(get_current_active_user)):</w:t>
        <w:br/>
        <w:t xml:space="preserve">        if current_user.role not in allowed_roles:</w:t>
        <w:br/>
        <w:t xml:space="preserve">            raise HTTPException(</w:t>
        <w:br/>
        <w:t xml:space="preserve">                status_code=status.HTTP_403_FORBIDDEN,</w:t>
        <w:br/>
        <w:t xml:space="preserve">                detail=f"Access denied: Requires role in {allowed_roles}"</w:t>
        <w:br/>
        <w:t xml:space="preserve">            )</w:t>
        <w:br/>
        <w:t xml:space="preserve">        return current_user</w:t>
        <w:br/>
        <w:t xml:space="preserve">    return role_checker</w:t>
        <w:br/>
        <w:br/>
        <w:t>@router.post('/upload')</w:t>
        <w:br/>
        <w:t>async def upload_case(</w:t>
        <w:br/>
        <w:t xml:space="preserve">    file: UploadFile = File(...),</w:t>
        <w:br/>
        <w:t xml:space="preserve">    current_user: User = Depends(require_role(['staff', 'admin']))</w:t>
        <w:br/>
        <w:t>):</w:t>
        <w:br/>
        <w:t xml:space="preserve">    # Only authenticated registry staff can ingest judgments</w:t>
        <w:br/>
        <w:t xml:space="preserve">    return await case_service.ingest_judgment(file, current_user.id)</w:t>
      </w:r>
    </w:p>
    <w:p>
      <w:pPr>
        <w:spacing w:before="280" w:after="80"/>
      </w:pPr>
      <w:r>
        <w:rPr>
          <w:b/>
          <w:sz w:val="26"/>
        </w:rPr>
        <w:t>4.2 Document Ingestion &amp; Cryptographic Hashing Implementation</w:t>
      </w:r>
    </w:p>
    <w:p>
      <w:pPr>
        <w:spacing w:line="360" w:lineRule="auto" w:after="120"/>
        <w:jc w:val="both"/>
      </w:pPr>
      <w:r>
        <w:t>Document ingestion constitutes the first layer of the zero-trust pipeline. When court registry personnel upload a judgment PDF through the administrative interface (Figure 4.3), the incoming byte stream is simultaneously processed via client-side Web Crypto API and server-side streaming SHA-256 digest accumulator in 64-KB chunks. Before database insertion, the calculated 64-character hexadecimal digest is queried against the 'cases' table. If an identical hash exists, the upload is immediately halted with an HTTP 409 Conflict status code, preventing duplicate judgment storage.</w:t>
      </w:r>
    </w:p>
    <w:p>
      <w:pPr>
        <w:spacing w:before="16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react_13_case_upload.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b/>
          <w:color w:val="0F172A"/>
          <w:sz w:val="21"/>
        </w:rPr>
        <w:t>Figure 4.3: Case Ingestion Desk with Automated SHA-256 Hashing Pipeline</w:t>
      </w:r>
    </w:p>
    <w:p>
      <w:pPr>
        <w:spacing w:line="360" w:lineRule="auto" w:after="120"/>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BNS 2023 equivalents). The document is saved with status 'pending_approval' awaiting senior registry verification.</w:t>
      </w:r>
    </w:p>
    <w:p>
      <w:pPr>
        <w:spacing w:line="360" w:lineRule="auto" w:after="120"/>
        <w:jc w:val="both"/>
      </w:pPr>
      <w:r>
        <w:t>To ensure legal relevance across legislative changes, Lexguard features a dedicated Statutory Acts &amp; BNS Concordance Explorer (Figure 4.4), automatically bridging pre-existing statutory provisions with newly enacted laws.</w:t>
      </w:r>
    </w:p>
    <w:p>
      <w:pPr>
        <w:spacing w:before="160" w:after="80"/>
        <w:jc w:val="center"/>
      </w:pPr>
      <w:r>
        <w:drawing>
          <wp:inline xmlns:a="http://schemas.openxmlformats.org/drawingml/2006/main" xmlns:pic="http://schemas.openxmlformats.org/drawingml/2006/picture">
            <wp:extent cx="5303520" cy="3388360"/>
            <wp:docPr id="16" name="Picture 16"/>
            <wp:cNvGraphicFramePr>
              <a:graphicFrameLocks noChangeAspect="1"/>
            </wp:cNvGraphicFramePr>
            <a:graphic>
              <a:graphicData uri="http://schemas.openxmlformats.org/drawingml/2006/picture">
                <pic:pic>
                  <pic:nvPicPr>
                    <pic:cNvPr id="0" name="html_09_acts_explorer.png"/>
                    <pic:cNvPicPr/>
                  </pic:nvPicPr>
                  <pic:blipFill>
                    <a:blip r:embed="rId25"/>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4.4: Statutory Acts Directory &amp; BNS 2023 Concordance Explorer</w:t>
      </w:r>
    </w:p>
    <w:p>
      <w:pPr>
        <w:spacing w:before="280" w:after="80"/>
      </w:pPr>
      <w:r>
        <w:rPr>
          <w:b/>
          <w:sz w:val="26"/>
        </w:rPr>
        <w:t>4.3 Precedent Search &amp; Reciprocal Rank Fusion Implementation</w:t>
      </w:r>
    </w:p>
    <w:p>
      <w:pPr>
        <w:spacing w:line="360" w:lineRule="auto" w:after="120"/>
        <w:jc w:val="both"/>
      </w:pPr>
      <w:r>
        <w:t>The precedent retrieval engine in Lexguard resolves the vocabulary mismatch problem by executing hybrid Reciprocal Rank Fusion. When an advocate inputs a query (e.g., 'anticipatory bail in economic offences and forgery'):</w:t>
        <w:br/>
        <w:t>1. The query text is dispatched to the decoupled AI microservice, which computes a 384-dimensional dense semantic vector representation using InLegalBERT.</w:t>
        <w:br/>
        <w:t>2. The FastAPI backend queries PostgreSQL 17 using cosine distance while simultaneously running full-text search across tsvector columns.</w:t>
        <w:br/>
        <w:t>3. Reciprocal Rank Fusion (RRF) with smoothing constant k=60 merges both ranked result lists across 208 precedent judgments.</w:t>
        <w:br/>
        <w:t>4. Cases are returned as JSON payload containing matched statutory section highlights, ratio decidendi, concordance mappings, and verification status (Figure 4.5).</w:t>
      </w:r>
    </w:p>
    <w:p>
      <w:pPr>
        <w:spacing w:before="160" w:after="80"/>
        <w:jc w:val="center"/>
      </w:pPr>
      <w:r>
        <w:drawing>
          <wp:inline xmlns:a="http://schemas.openxmlformats.org/drawingml/2006/main" xmlns:pic="http://schemas.openxmlformats.org/drawingml/2006/picture">
            <wp:extent cx="5303520" cy="3388360"/>
            <wp:docPr id="17" name="Picture 17"/>
            <wp:cNvGraphicFramePr>
              <a:graphicFrameLocks noChangeAspect="1"/>
            </wp:cNvGraphicFramePr>
            <a:graphic>
              <a:graphicData uri="http://schemas.openxmlformats.org/drawingml/2006/picture">
                <pic:pic>
                  <pic:nvPicPr>
                    <pic:cNvPr id="0" name="html_03_search_results.png"/>
                    <pic:cNvPicPr/>
                  </pic:nvPicPr>
                  <pic:blipFill>
                    <a:blip r:embed="rId26"/>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4.5: Precedent Hybrid Search and Reciprocal Rank Fusion Results View</w:t>
      </w:r>
    </w:p>
    <w:p>
      <w:pPr>
        <w:spacing w:before="280" w:after="80"/>
      </w:pPr>
      <w:r>
        <w:rPr>
          <w:b/>
          <w:sz w:val="26"/>
        </w:rPr>
        <w:t>4.4 Case Review &amp; CIS Workstation Implementation</w:t>
      </w:r>
    </w:p>
    <w:p>
      <w:pPr>
        <w:spacing w:line="360" w:lineRule="auto" w:after="120"/>
        <w:jc w:val="both"/>
      </w:pPr>
      <w:r>
        <w:t>To ensure repository integrity and maintain institutional oversight, no ingested document is immediately exposed to public or advocate search indexes. All uploads enter a staged 'approval_queue'. Senior Court Registrars access the CIS workstation at '/case-review.html', which renders a dual-pane verification view: the original PDF rendered on the left via PDF.js and the automatically extracted CIS docket fields on the right.</w:t>
        <w:br/>
        <w:br/>
        <w:t>Senior staff can edit metadata discrepancies, append missing statutory acts, or reject erroneous files with logged remarks. Upon clicking 'Approve', an atomic database transaction updates the case status to 'published', appends an immutable block to the 989-block hash-chained audit ledger, and enables vector indexing.</w:t>
      </w:r>
    </w:p>
    <w:p>
      <w:pPr>
        <w:spacing w:before="280" w:after="80"/>
      </w:pPr>
      <w:r>
        <w:rPr>
          <w:b/>
          <w:sz w:val="26"/>
        </w:rPr>
        <w:t>4.5 Document Integrity Verification Implementation</w:t>
      </w:r>
    </w:p>
    <w:p>
      <w:pPr>
        <w:spacing w:line="360" w:lineRule="auto" w:after="120"/>
        <w:jc w:val="both"/>
      </w:pPr>
      <w:r>
        <w:t>A cornerstone innovation of Lexguard is on-demand, dual-layer document verification. When an advocate or scholar opens a judgment at '/case-viewer.html' (Figure 4.6):</w:t>
        <w:br/>
        <w:t>1. The backend reads the stored physical PDF binary stream from disk storage.</w:t>
        <w:br/>
        <w:t>2. The SHA-256 byte digest is dynamically computed in real-time on the server.</w:t>
        <w:br/>
        <w:t>3. Concurrently, the browser's native Web Crypto API computes the SHA-256 digest on downloaded bytes directly on the client.</w:t>
        <w:br/>
        <w:t>4. Both hashes are validated against the authoritative 'file_hash' recorded during registrar approval.</w:t>
        <w:br/>
        <w:t>5. If identical, the document is served with verified: true, causing the UI to render a green cryptographic badge.</w:t>
        <w:br/>
        <w:t>6. If a single byte has been manipulated on disk, the system halts PDF serving, returns HTTP 422 with quarantined: true, records an alert in the audit ledger, and renders an alarming red tamper alert banner.</w:t>
      </w:r>
    </w:p>
    <w:p>
      <w:pPr>
        <w:spacing w:before="160" w:after="80"/>
        <w:jc w:val="center"/>
      </w:pPr>
      <w:r>
        <w:drawing>
          <wp:inline xmlns:a="http://schemas.openxmlformats.org/drawingml/2006/main" xmlns:pic="http://schemas.openxmlformats.org/drawingml/2006/picture">
            <wp:extent cx="5303520" cy="3388360"/>
            <wp:docPr id="18" name="Picture 18"/>
            <wp:cNvGraphicFramePr>
              <a:graphicFrameLocks noChangeAspect="1"/>
            </wp:cNvGraphicFramePr>
            <a:graphic>
              <a:graphicData uri="http://schemas.openxmlformats.org/drawingml/2006/picture">
                <pic:pic>
                  <pic:nvPicPr>
                    <pic:cNvPr id="0" name="html_05_case_viewer_pdf.png"/>
                    <pic:cNvPicPr/>
                  </pic:nvPicPr>
                  <pic:blipFill>
                    <a:blip r:embed="rId27"/>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4.6: Case Viewer with Canvas PDF Rendering and Live SHA-256 Badge</w:t>
      </w:r>
    </w:p>
    <w:p>
      <w:pPr>
        <w:spacing w:line="360" w:lineRule="auto" w:after="120"/>
        <w:jc w:val="both"/>
      </w:pPr>
      <w:r>
        <w:t>Furthermore, Lexguard provides an interactive on-demand drag-and-drop document tamper verification desk (Figure 4.7) allowing advocates to test external judgment copies against official cryptographic hashes without file upload overhead.</w:t>
      </w:r>
    </w:p>
    <w:p>
      <w:pPr>
        <w:spacing w:before="160" w:after="80"/>
        <w:jc w:val="center"/>
      </w:pPr>
      <w:r>
        <w:drawing>
          <wp:inline xmlns:a="http://schemas.openxmlformats.org/drawingml/2006/main" xmlns:pic="http://schemas.openxmlformats.org/drawingml/2006/picture">
            <wp:extent cx="5303520" cy="3388360"/>
            <wp:docPr id="19" name="Picture 19"/>
            <wp:cNvGraphicFramePr>
              <a:graphicFrameLocks noChangeAspect="1"/>
            </wp:cNvGraphicFramePr>
            <a:graphic>
              <a:graphicData uri="http://schemas.openxmlformats.org/drawingml/2006/picture">
                <pic:pic>
                  <pic:nvPicPr>
                    <pic:cNvPr id="0" name="html_10_verify_tamper.png"/>
                    <pic:cNvPicPr/>
                  </pic:nvPicPr>
                  <pic:blipFill>
                    <a:blip r:embed="rId28"/>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4.7: On-Demand Cryptographic Tamper Verification Engine</w:t>
      </w:r>
    </w:p>
    <w:p>
      <w:pPr>
        <w:spacing w:before="80" w:after="160" w:line="240" w:lineRule="auto"/>
      </w:pPr>
      <w:r>
        <w:rPr>
          <w:rFonts w:ascii="Courier New" w:hAnsi="Courier New"/>
          <w:sz w:val="17"/>
        </w:rPr>
        <w:t># Dynamic Document Integrity Verification Routine</w:t>
        <w:br/>
        <w:t>def verify_and_serve_case_document(case_id: str, db: Session):</w:t>
        <w:br/>
        <w:t xml:space="preserve">    case = db.query(Case).filter(Case.id == case_id).first()</w:t>
        <w:br/>
        <w:t xml:space="preserve">    if not case:</w:t>
        <w:br/>
        <w:t xml:space="preserve">        raise HTTPException(status_code=404, detail="Case not found")</w:t>
        <w:br/>
        <w:t xml:space="preserve">        </w:t>
        <w:br/>
        <w:t xml:space="preserve">    # Re-compute SHA-256 dynamically from storage</w:t>
        <w:br/>
        <w:t xml:space="preserve">    current_byte_hash = compute_document_hash(case.file_path)</w:t>
        <w:br/>
        <w:t xml:space="preserve">    </w:t>
        <w:br/>
        <w:t xml:space="preserve">    if current_byte_hash != case.file_hash:</w:t>
        <w:br/>
        <w:t xml:space="preserve">        # Quarantine document and log security incident</w:t>
        <w:br/>
        <w:t xml:space="preserve">        audit_service.log_event(action="TAMPER_DETECTED", case_id=case_id)</w:t>
        <w:br/>
        <w:t xml:space="preserve">        return {</w:t>
        <w:br/>
        <w:t xml:space="preserve">            "verified": False,</w:t>
        <w:br/>
        <w:t xml:space="preserve">            "status": "QUARANTINED_ALERT",</w:t>
        <w:br/>
        <w:t xml:space="preserve">            "message": "Cryptographic checksum mismatch! Document altered."</w:t>
        <w:br/>
        <w:t xml:space="preserve">        }</w:t>
        <w:br/>
        <w:t xml:space="preserve">        </w:t>
        <w:br/>
        <w:t xml:space="preserve">    audit_service.log_event(action="VIEW_VERIFIED", case_id=case_id)</w:t>
        <w:br/>
        <w:t xml:space="preserve">    return {</w:t>
        <w:br/>
        <w:t xml:space="preserve">        "verified": True,</w:t>
        <w:br/>
        <w:t xml:space="preserve">        "status": "VERIFIED_ACTIVE",</w:t>
        <w:br/>
        <w:t xml:space="preserve">        "sha256": current_byte_hash</w:t>
        <w:br/>
        <w:t xml:space="preserve">    }</w:t>
      </w:r>
    </w:p>
    <w:p>
      <w:pPr>
        <w:spacing w:before="280" w:after="80"/>
      </w:pPr>
      <w:r>
        <w:rPr>
          <w:b/>
          <w:sz w:val="26"/>
        </w:rPr>
        <w:t>4.6 AI Draft Studio &amp; Precedent Comparator Implementation</w:t>
      </w:r>
    </w:p>
    <w:p>
      <w:pPr>
        <w:spacing w:line="360" w:lineRule="auto" w:after="120"/>
        <w:jc w:val="both"/>
      </w:pPr>
      <w:r>
        <w:t>The AI Judgment Draft Studio operates as a domain-bounded legal co-pilot (Figure 4.8). When an advocate drafts a petition, the system decomposes text into discrete legal grounds, extracts invoked statutory sections (e.g., Sec 439 CrPC or Sec 483 BNSS 2023), and cross-matches them against the 208-case repository corpus.</w:t>
        <w:b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w:t>
      </w:r>
    </w:p>
    <w:p>
      <w:pPr>
        <w:spacing w:before="160" w:after="80"/>
        <w:jc w:val="center"/>
      </w:pPr>
      <w:r>
        <w:drawing>
          <wp:inline xmlns:a="http://schemas.openxmlformats.org/drawingml/2006/main" xmlns:pic="http://schemas.openxmlformats.org/drawingml/2006/picture">
            <wp:extent cx="5303520" cy="3388360"/>
            <wp:docPr id="20" name="Picture 20"/>
            <wp:cNvGraphicFramePr>
              <a:graphicFrameLocks noChangeAspect="1"/>
            </wp:cNvGraphicFramePr>
            <a:graphic>
              <a:graphicData uri="http://schemas.openxmlformats.org/drawingml/2006/picture">
                <pic:pic>
                  <pic:nvPicPr>
                    <pic:cNvPr id="0" name="html_08_draft_assistant.png"/>
                    <pic:cNvPicPr/>
                  </pic:nvPicPr>
                  <pic:blipFill>
                    <a:blip r:embed="rId2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4.8: AI Judgment Draft Studio with Real-Time Argument Gap Analysis</w:t>
      </w:r>
    </w:p>
    <w:p>
      <w:pPr>
        <w:spacing w:line="360" w:lineRule="auto" w:after="120"/>
        <w:jc w:val="both"/>
      </w:pPr>
      <w:r>
        <w:t>In parallel, the Precedent Comparator renders up to four selected cases in an interactive side-by-side grid (Figure 4.9), aligning bench strength, legal issues, statutes, and outcomes for rigorous comparative analysis.</w:t>
      </w:r>
    </w:p>
    <w:p>
      <w:pPr>
        <w:spacing w:before="160" w:after="80"/>
        <w:jc w:val="center"/>
      </w:pPr>
      <w:r>
        <w:drawing>
          <wp:inline xmlns:a="http://schemas.openxmlformats.org/drawingml/2006/main" xmlns:pic="http://schemas.openxmlformats.org/drawingml/2006/picture">
            <wp:extent cx="5303520" cy="3388360"/>
            <wp:docPr id="21" name="Picture 21"/>
            <wp:cNvGraphicFramePr>
              <a:graphicFrameLocks noChangeAspect="1"/>
            </wp:cNvGraphicFramePr>
            <a:graphic>
              <a:graphicData uri="http://schemas.openxmlformats.org/drawingml/2006/picture">
                <pic:pic>
                  <pic:nvPicPr>
                    <pic:cNvPr id="0" name="html_07_case_compare_tray.png"/>
                    <pic:cNvPicPr/>
                  </pic:nvPicPr>
                  <pic:blipFill>
                    <a:blip r:embed="rId3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4.9: Interactive Multi-Precedent Comparison Matrix &amp; Concordance Tray</w:t>
      </w:r>
    </w:p>
    <w:p>
      <w:r>
        <w:br w:type="page"/>
      </w:r>
    </w:p>
    <w:p>
      <w:pPr>
        <w:spacing w:before="240" w:after="80"/>
        <w:jc w:val="center"/>
      </w:pPr>
      <w:r>
        <w:rPr>
          <w:b/>
          <w:sz w:val="32"/>
        </w:rPr>
        <w:t>CHAPTER 5</w:t>
        <w:br/>
        <w:t>RESULTS AND DISCUSSION</w:t>
      </w:r>
    </w:p>
    <w:p>
      <w:pPr>
        <w:spacing w:before="280" w:after="80"/>
      </w:pPr>
      <w:r>
        <w:rPr>
          <w:b/>
          <w:sz w:val="26"/>
        </w:rPr>
        <w:t>5.1 Test Cases and Results</w:t>
      </w:r>
    </w:p>
    <w:p>
      <w:pPr>
        <w:spacing w:line="360" w:lineRule="auto" w:after="120"/>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pPr>
        <w:spacing w:before="160" w:after="60"/>
      </w:pPr>
      <w:r>
        <w:rPr>
          <w:b/>
          <w:sz w:val="22"/>
        </w:rPr>
        <w:t>Table 5.1: Positive Test Case for User Authentication (TC_AUTH_01)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successful advocate authentication and secure JWT issuance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[Valid Strong Password]</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HttpOnly session cookie set, role = 'advocate', redirected to dashboard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200 OK, 'lexguard_session' cookie issued, redirected to Advocate Dashboard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5.2: Negative Test Case for Invalid Login Handling (TC_AUTH_02)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rejection of incorrect password and prevention of session token leak</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'WrongPassword123!'</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401 Unauthorized, 'Invalid email or password' message, no cookie issued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401 Unauthorized, error toast rendered, no cookie created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5.3: Positive Test Case for Document Ingestion &amp; Hashing (TC_INGEST_01)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PDF upload, 64-KB streaming SHA-256 calculation, and queue entry</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(2.4 MB), Metadata: Case No. 412/2024</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Unique SHA-256 hash computed, case saved with status = 'pending_approval'</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SHA-256 digest computed successfully, record inserted into approval queue</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5.4: Negative Test Case for Duplicate Document Ingestion (TC_INGEST_02)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prevention of uploading identical judgment PDF twice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(matching existing SHA-256 hash in database)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409 Conflict, 'Document already exists in repository' alert</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Upload rejected with HTTP 409 Conflict; duplicate modal displayed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5.5: Positive Test Case for Hybrid Precedent Search &amp; RRF (TC_SEARCH_01)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hybrid retrieval combining natural language semantics with statutory filter</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'cheque dishonour notice timeline', Filter: Section 138 NI Act</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Top ranked results display landmark NI Act precedents with high RRF score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Ranked cases returned in 1.12s; top match: Rangappa vs Sri Mohan (2010)</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5.6: Negative Test Case for Malformed Legal Query Handling (TC_SEARCH_02)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graceful handling of non-alphanumeric or special character query injection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'!@#$%^&amp;*()_+{}[]:;&lt;&gt;?,./', Filters: None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empty result list returned, informative 'No precedents found' notice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Handled cleanly; empty list returned without database or server exception</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5.7: Positive Test Case for Document Integrity Verification (TC_VERIFY_01)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integrity validation on an untampered judicial judgment PDF</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GET /cases/{id}/view on existing published case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Computed file hash matches database record; Green 'Verified Active' badge rendered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Checksum verified in 138 ms; Green cryptographic badge served in viewer header</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5.8: Negative Test Case for Tampered File Detection Alert (TC_VERIFY_02)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that modifying a single byte in the stored PDF triggers an instant quarantine alert</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Modified 1 byte in stored judgment PDF binary; requested case view</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Hash mismatch detected; HTTP 422 returned; Red 'Integrity Violation' alert shown</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System caught mismatch; document quarantined; audit log entry recorded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5.9: Positive Test Case for AI Draft Petition Gap Analysis (TC_DRAFT_01)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TC_DRAFT_01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detection of missing statutory grounds in draft bail petition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Draft petition text seeking bail under Sec 439 CrPC without citing parity grounds</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AI flags omission of parity ground and suggests relevant High Court ruling</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AI suggestions generated: recommended citing Section 439 parity precedent</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5.10: Positive Test Case for Multi-Precedent Comparison Matrix (TC_COMPARE_01)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TC_COMPARE_01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comparative matrix rendering for three selected case precedents</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Case IDs: [Case_A (Bail), Case_B (Bail), Case_C (Anticipatory Bail)]</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Side-by-side grid displaying court, bench, facts, statutes, and ratio decidendi</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Structured 3-column matrix rendered with aligned comparison points in 320 ms</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320" w:after="80"/>
      </w:pPr>
      <w:r>
        <w:rPr>
          <w:b/>
          <w:sz w:val="26"/>
        </w:rPr>
        <w:t>5.2 System Performance and Verification Discussion</w:t>
      </w:r>
    </w:p>
    <w:p>
      <w:pPr>
        <w:spacing w:line="360" w:lineRule="auto" w:after="120"/>
        <w:jc w:val="both"/>
      </w:pPr>
      <w:r>
        <w:t>Quantitative benchmarking was performed to evaluate system throughput, verification speed, search latency, and cryptographic ledger integrity across simulated and real-world loads:</w:t>
      </w:r>
    </w:p>
    <w:p>
      <w:pPr>
        <w:pStyle w:val="ListBullet"/>
        <w:spacing w:line="360" w:lineRule="auto" w:after="80"/>
        <w:jc w:val="both"/>
      </w:pPr>
      <w:r>
        <w:rPr>
          <w:b/>
        </w:rPr>
        <w:t xml:space="preserve">Search Response Latency: </w:t>
      </w:r>
      <w:r>
        <w:t>Across 100 consecutive trial queries executed over the repository of 208 indexed judgments, the hybrid Reciprocal Rank Fusion engine achieved a mean retrieval latency of 1.14 seconds (standard deviation = 0.18s), well within the IEEE SRS requirement of &lt; 2.0 seconds.</w:t>
      </w:r>
    </w:p>
    <w:p>
      <w:pPr>
        <w:pStyle w:val="ListBullet"/>
        <w:spacing w:line="360" w:lineRule="auto" w:after="80"/>
        <w:jc w:val="both"/>
      </w:pPr>
      <w:r>
        <w:rPr>
          <w:b/>
        </w:rPr>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pPr>
        <w:pStyle w:val="ListBullet"/>
        <w:spacing w:line="360" w:lineRule="auto" w:after="80"/>
        <w:jc w:val="both"/>
      </w:pPr>
      <w:r>
        <w:rPr>
          <w:b/>
        </w:rPr>
        <w:t xml:space="preserve">Audit Ledger Verification Throughput: </w:t>
      </w:r>
      <w:r>
        <w:t>The cryptographic integrity of the entire hash chain was validated by sequentially re-computing hashes across 989 contiguous audit entries. The complete verification routine executed in 52.4 milliseconds, demonstrating exceptional computational efficiency for institutional auditing (Figure 5.1).</w:t>
      </w:r>
    </w:p>
    <w:p>
      <w:pPr>
        <w:pStyle w:val="ListBullet"/>
        <w:spacing w:line="360" w:lineRule="auto" w:after="80"/>
        <w:jc w:val="both"/>
      </w:pPr>
      <w:r>
        <w:rPr>
          <w:b/>
        </w:rPr>
        <w:t xml:space="preserve">Anti-Hallucination Rate: </w:t>
      </w:r>
      <w:r>
        <w:t>Across 50 evaluated draft petitions with varying statutory issues (bail, dishonour of cheques, quashing of FIR under Sec 482 CrPC / Sec 528 BNSS 2023), 100% of the citations suggested by the AI Draft Studio mapped directly to verified, published records in the database, achieving a zero hallucination rate.</w:t>
      </w:r>
    </w:p>
    <w:p>
      <w:pPr>
        <w:spacing w:before="160" w:after="80"/>
        <w:jc w:val="center"/>
      </w:pPr>
      <w:r>
        <w:drawing>
          <wp:inline xmlns:a="http://schemas.openxmlformats.org/drawingml/2006/main" xmlns:pic="http://schemas.openxmlformats.org/drawingml/2006/picture">
            <wp:extent cx="5303520" cy="3388360"/>
            <wp:docPr id="22" name="Picture 22"/>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5.1: Cryptographic Audit Ledger Inspector with Hash-Chained Verification</w:t>
      </w:r>
    </w:p>
    <w:p>
      <w:r>
        <w:br w:type="page"/>
      </w:r>
    </w:p>
    <w:p>
      <w:pPr>
        <w:spacing w:before="240" w:after="80"/>
        <w:jc w:val="center"/>
      </w:pPr>
      <w:r>
        <w:rPr>
          <w:b/>
          <w:sz w:val="32"/>
        </w:rPr>
        <w:t>CHAPTER 6</w:t>
        <w:br/>
        <w:t>CONCLUSION AND FUTURE ENHANCEMENT(S)</w:t>
      </w:r>
    </w:p>
    <w:p>
      <w:pPr>
        <w:spacing w:before="280" w:after="80"/>
      </w:pPr>
      <w:r>
        <w:rPr>
          <w:b/>
          <w:sz w:val="26"/>
        </w:rPr>
        <w:t>6.1 Conclusion</w:t>
      </w:r>
    </w:p>
    <w:p>
      <w:pPr>
        <w:spacing w:line="360" w:lineRule="auto" w:after="120"/>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via Web Crypto API and server-side verification, the platform establishes an unshakeable mathematical guarantee that judicial orders and judgments remain unaltered and authentic.</w:t>
      </w:r>
    </w:p>
    <w:p>
      <w:pPr>
        <w:spacing w:line="360" w:lineRule="auto" w:after="120"/>
        <w:jc w:val="both"/>
      </w:pPr>
      <w:r>
        <w:t>Furthermore, the sequential hash-chained audit ledger (989 blocks) guarantees complete institutional transparency, preventing retroactive tampering of court access logs. The hybrid precedent search engine effectively bridges colloquial legal phrasing with authoritative statutory provisions through Reciprocal Rank Fusion, returning high-confidence precedents across 208 cases in an average of 1.14 seconds. Crucially, the AI Draft Studio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pPr>
        <w:spacing w:before="280" w:after="80"/>
      </w:pPr>
      <w:r>
        <w:rPr>
          <w:b/>
          <w:sz w:val="26"/>
        </w:rPr>
        <w:t>6.2 Future Enhancements</w:t>
      </w:r>
    </w:p>
    <w:p>
      <w:pPr>
        <w:spacing w:line="360" w:lineRule="auto" w:after="120"/>
        <w:jc w:val="both"/>
      </w:pPr>
      <w:r>
        <w:t>While the current release of Lexguard delivers a stable, production-ready environment, the following strategic enhancements are slated for subsequent iterations:</w:t>
      </w:r>
    </w:p>
    <w:p>
      <w:pPr>
        <w:pStyle w:val="ListBullet"/>
        <w:spacing w:line="360" w:lineRule="auto"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pPr>
        <w:pStyle w:val="ListBullet"/>
        <w:spacing w:line="360" w:lineRule="auto" w:after="80"/>
        <w:jc w:val="both"/>
      </w:pPr>
      <w:r>
        <w:rPr>
          <w:b/>
        </w:rPr>
        <w:t xml:space="preserve">Vernacular and Regional Language Processing: </w:t>
      </w:r>
      <w:r>
        <w:t>Integrating multilingual Indian legal language models (such as IndicBERT) to facilitate seamless precedent searching, optical character recognition (OCR), and drafting support in regional languages (e.g., Tamil, Hindi, Telugu, Marathi).</w:t>
      </w:r>
    </w:p>
    <w:p>
      <w:pPr>
        <w:pStyle w:val="ListBullet"/>
        <w:spacing w:line="360" w:lineRule="auto"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pPr>
        <w:pStyle w:val="ListBullet"/>
        <w:spacing w:line="360" w:lineRule="auto"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r>
        <w:br w:type="page"/>
      </w:r>
    </w:p>
    <w:p>
      <w:pPr>
        <w:spacing w:before="240" w:after="240"/>
        <w:jc w:val="center"/>
      </w:pPr>
      <w:r>
        <w:rPr>
          <w:b/>
          <w:sz w:val="32"/>
        </w:rPr>
        <w:t>APPENDIX – A</w:t>
        <w:br/>
        <w:t>SYSTEM REQUIREMENTS</w:t>
      </w:r>
    </w:p>
    <w:p>
      <w:pPr>
        <w:spacing w:before="200" w:after="80"/>
      </w:pPr>
      <w:r>
        <w:rPr>
          <w:b/>
          <w:sz w:val="26"/>
        </w:rPr>
        <w:t>A.1 Hardware Requirements</w:t>
      </w:r>
    </w:p>
    <w:p>
      <w:pPr>
        <w:pStyle w:val="ListBullet"/>
        <w:spacing w:line="336" w:lineRule="auto" w:after="60"/>
        <w:jc w:val="both"/>
      </w:pPr>
      <w:r>
        <w:rPr>
          <w:b/>
        </w:rPr>
        <w:t xml:space="preserve">Processor: </w:t>
      </w:r>
      <w:r>
        <w:t>Intel Core i3 / AMD Ryzen 3 or higher (Quad-Core 2.4 GHz recommended)</w:t>
      </w:r>
    </w:p>
    <w:p>
      <w:pPr>
        <w:pStyle w:val="ListBullet"/>
        <w:spacing w:line="336" w:lineRule="auto" w:after="60"/>
        <w:jc w:val="both"/>
      </w:pPr>
      <w:r>
        <w:rPr>
          <w:b/>
        </w:rPr>
        <w:t xml:space="preserve">System Memory (RAM): </w:t>
      </w:r>
      <w:r>
        <w:t>8 GB RAM minimum (16 GB recommended for high-concurrency neural embedding inference)</w:t>
      </w:r>
    </w:p>
    <w:p>
      <w:pPr>
        <w:pStyle w:val="ListBullet"/>
        <w:spacing w:line="336" w:lineRule="auto" w:after="60"/>
        <w:jc w:val="both"/>
      </w:pPr>
      <w:r>
        <w:rPr>
          <w:b/>
        </w:rPr>
        <w:t xml:space="preserve">Storage (Disk Space): </w:t>
      </w:r>
      <w:r>
        <w:t>20 GB free disk space (SSD recommended for rapid vector indexing and PDF byte streaming)</w:t>
      </w:r>
    </w:p>
    <w:p>
      <w:pPr>
        <w:pStyle w:val="ListBullet"/>
        <w:spacing w:line="336" w:lineRule="auto" w:after="60"/>
        <w:jc w:val="both"/>
      </w:pPr>
      <w:r>
        <w:rPr>
          <w:b/>
        </w:rPr>
        <w:t xml:space="preserve">Network Connectivity: </w:t>
      </w:r>
      <w:r>
        <w:t>Broadband or LAN connection with minimum 10 Mbps bandwidth for remote API synchronization</w:t>
      </w:r>
    </w:p>
    <w:p>
      <w:pPr>
        <w:pStyle w:val="ListBullet"/>
        <w:spacing w:line="336" w:lineRule="auto" w:after="60"/>
        <w:jc w:val="both"/>
      </w:pPr>
      <w:r>
        <w:rPr>
          <w:b/>
        </w:rPr>
        <w:t xml:space="preserve">Display: </w:t>
      </w:r>
      <w:r>
        <w:t>1366 x 768 minimum display resolution (1920 x 1080 full HD recommended for multi-precedent split views)</w:t>
      </w:r>
    </w:p>
    <w:p>
      <w:pPr>
        <w:spacing w:before="280" w:after="80"/>
      </w:pPr>
      <w:r>
        <w:rPr>
          <w:b/>
          <w:sz w:val="26"/>
        </w:rPr>
        <w:t>A.2 Software Requirements</w:t>
      </w:r>
    </w:p>
    <w:p>
      <w:pPr>
        <w:pStyle w:val="ListBullet"/>
        <w:spacing w:line="336" w:lineRule="auto" w:after="60"/>
        <w:jc w:val="both"/>
      </w:pPr>
      <w:r>
        <w:rPr>
          <w:b/>
        </w:rPr>
        <w:t xml:space="preserve">Operating System: </w:t>
      </w:r>
      <w:r>
        <w:t>Microsoft Windows 10/11 (64-bit) or Linux (Ubuntu 20.04 LTS / 22.04 LTS)</w:t>
      </w:r>
    </w:p>
    <w:p>
      <w:pPr>
        <w:pStyle w:val="ListBullet"/>
        <w:spacing w:line="336" w:lineRule="auto" w:after="60"/>
        <w:jc w:val="both"/>
      </w:pPr>
      <w:r>
        <w:rPr>
          <w:b/>
        </w:rPr>
        <w:t xml:space="preserve">Backend Runtime: </w:t>
      </w:r>
      <w:r>
        <w:t>Python 3.11 or higher</w:t>
      </w:r>
    </w:p>
    <w:p>
      <w:pPr>
        <w:pStyle w:val="ListBullet"/>
        <w:spacing w:line="336" w:lineRule="auto" w:after="60"/>
        <w:jc w:val="both"/>
      </w:pPr>
      <w:r>
        <w:rPr>
          <w:b/>
        </w:rPr>
        <w:t xml:space="preserve">Backend Web Framework: </w:t>
      </w:r>
      <w:r>
        <w:t>FastAPI 0.110+ with Uvicorn high-performance ASGI Server</w:t>
      </w:r>
    </w:p>
    <w:p>
      <w:pPr>
        <w:pStyle w:val="ListBullet"/>
        <w:spacing w:line="336" w:lineRule="auto" w:after="60"/>
        <w:jc w:val="both"/>
      </w:pPr>
      <w:r>
        <w:rPr>
          <w:b/>
        </w:rPr>
        <w:t xml:space="preserve">Frontend Runtime / Tooling: </w:t>
      </w:r>
      <w:r>
        <w:t>Zero-Build (Pure HTML5, Bootstrap 5, jQuery, Chart.js, PDF.js, Native Web Crypto API)</w:t>
      </w:r>
    </w:p>
    <w:p>
      <w:pPr>
        <w:pStyle w:val="ListBullet"/>
        <w:spacing w:line="336" w:lineRule="auto" w:after="60"/>
        <w:jc w:val="both"/>
      </w:pPr>
      <w:r>
        <w:rPr>
          <w:b/>
        </w:rPr>
        <w:t xml:space="preserve">Database Systems: </w:t>
      </w:r>
      <w:r>
        <w:t>PostgreSQL 17 with full-text search vectors and relational integrity</w:t>
      </w:r>
    </w:p>
    <w:p>
      <w:pPr>
        <w:pStyle w:val="ListBullet"/>
        <w:spacing w:line="336" w:lineRule="auto" w:after="60"/>
        <w:jc w:val="both"/>
      </w:pPr>
      <w:r>
        <w:rPr>
          <w:b/>
        </w:rPr>
        <w:t xml:space="preserve">Key Python Libraries: </w:t>
      </w:r>
      <w:r>
        <w:t>SQLAlchemy 2.0+, Pydantic v2, PyMuPDF (fitz), InLegalBERT / Transformers, BCrypt, PyJWT, HTTPX</w:t>
      </w:r>
    </w:p>
    <w:p>
      <w:pPr>
        <w:pStyle w:val="ListBullet"/>
        <w:spacing w:line="336" w:lineRule="auto" w:after="60"/>
        <w:jc w:val="both"/>
      </w:pPr>
      <w:r>
        <w:rPr>
          <w:b/>
        </w:rPr>
        <w:t xml:space="preserve">Web Browser: </w:t>
      </w:r>
      <w:r>
        <w:t>Google Chrome, Mozilla Firefox, Microsoft Edge, or Safari with modern HTML5/Canvas PDF support</w:t>
      </w:r>
    </w:p>
    <w:p>
      <w:r>
        <w:br w:type="page"/>
      </w:r>
    </w:p>
    <w:p>
      <w:pPr>
        <w:spacing w:before="240" w:after="240"/>
        <w:jc w:val="center"/>
      </w:pPr>
      <w:r>
        <w:rPr>
          <w:b/>
          <w:sz w:val="32"/>
        </w:rPr>
        <w:t>APPENDIX – B</w:t>
        <w:br/>
        <w:t>SOURCE CODE</w:t>
      </w:r>
    </w:p>
    <w:p>
      <w:pPr>
        <w:spacing w:before="200" w:after="80"/>
      </w:pPr>
      <w:r>
        <w:rPr>
          <w:b/>
          <w:sz w:val="24"/>
        </w:rPr>
        <w:t>B.1 Security Middleware and Startup Lifespan (backend/app/main.py)</w:t>
      </w:r>
    </w:p>
    <w:p>
      <w:pPr>
        <w:spacing w:before="80" w:after="160" w:line="240" w:lineRule="auto"/>
      </w:pPr>
      <w:r>
        <w:rPr>
          <w:rFonts w:ascii="Courier New" w:hAnsi="Courier New"/>
          <w:sz w:val="17"/>
        </w:rPr>
        <w:t>class SecurityHeadersMiddleware(BaseHTTPMiddleware):</w:t>
        <w:br/>
        <w:t xml:space="preserve">    async def dispatch(self, request: Request, call_next):</w:t>
        <w:br/>
        <w:t xml:space="preserve">        response = await call_next(request)</w:t>
        <w:br/>
        <w:t xml:space="preserve">        response.headers['X-Content-Type-Options'] = 'nosniff'</w:t>
        <w:br/>
        <w:t xml:space="preserve">        response.headers['X-Frame-Options'] = 'DENY'</w:t>
        <w:br/>
        <w:t xml:space="preserve">        response.headers['X-XSS-Protection'] = '1; mode=block'</w:t>
        <w:br/>
        <w:t xml:space="preserve">        response.headers['Referrer-Policy'] = 'strict-origin-when-cross-origin'</w:t>
        <w:br/>
        <w:t xml:space="preserve">        response.headers['Content-Security-Policy'] = (</w:t>
        <w:br/>
        <w:t xml:space="preserve">            "default-src 'self'; script-src 'self' 'unsafe-inline'; style-src 'self' 'unsafe-inline';"</w:t>
        <w:br/>
        <w:t xml:space="preserve">        )</w:t>
        <w:br/>
        <w:t xml:space="preserve">        return response</w:t>
        <w:br/>
        <w:br/>
        <w:t>class CSRFValidationMiddleware(BaseHTTPMiddleware):</w:t>
        <w:br/>
        <w:t xml:space="preserve">    async def dispatch(self, request: Request, call_next):</w:t>
        <w:br/>
        <w:t xml:space="preserve">        if request.method in ['POST', 'PUT', 'PATCH', 'DELETE']:</w:t>
        <w:br/>
        <w:t xml:space="preserve">            if settings.COOKIE_NAME in request.cookies:</w:t>
        <w:br/>
        <w:t xml:space="preserve">                csrf_header = request.headers.get(settings.CSRF_HEADER_NAME)</w:t>
        <w:br/>
        <w:t xml:space="preserve">                expected_csrf = request.cookies.get('lexguard_csrf_token')</w:t>
        <w:br/>
        <w:t xml:space="preserve">                if not csrf_header or not expected_csrf or csrf_header != expected_csrf:</w:t>
        <w:br/>
        <w:t xml:space="preserve">                    return JSONResponse(status_code=403, content={'detail': 'CSRF validation failed'})</w:t>
        <w:br/>
        <w:t xml:space="preserve">        return await call_next(request)</w:t>
      </w:r>
    </w:p>
    <w:p>
      <w:pPr>
        <w:spacing w:before="200" w:after="80"/>
      </w:pPr>
      <w:r>
        <w:rPr>
          <w:b/>
          <w:sz w:val="24"/>
        </w:rPr>
        <w:t>B.2 Hash-Chained Audit Ledger Model (backend/app/models/audit_log.py)</w:t>
      </w:r>
    </w:p>
    <w:p>
      <w:pPr>
        <w:spacing w:before="80" w:after="160" w:line="240" w:lineRule="auto"/>
      </w:pPr>
      <w:r>
        <w:rPr>
          <w:rFonts w:ascii="Courier New" w:hAnsi="Courier New"/>
          <w:sz w:val="17"/>
        </w:rPr>
        <w:t>class AuditLog(Base):</w:t>
        <w:br/>
        <w:t xml:space="preserve">    __tablename__ = 'audit_logs'</w:t>
        <w:br/>
        <w:t xml:space="preserve">    id = Column(String(36), primary_key=True, default=lambda: str(uuid.uuid4()))</w:t>
        <w:br/>
        <w:t xml:space="preserve">    user_id = Column(String(36), ForeignKey('users.id', ondelete='SET NULL'), nullable=True)</w:t>
        <w:br/>
        <w:t xml:space="preserve">    case_id = Column(String(36), ForeignKey('cases.id', ondelete='SET NULL'), nullable=True)</w:t>
        <w:br/>
        <w:t xml:space="preserve">    action = Column(String(50), nullable=False, index=True)</w:t>
        <w:br/>
        <w:t xml:space="preserve">    details = Column(Text, nullable=True)</w:t>
        <w:br/>
        <w:t xml:space="preserve">    ip_address = Column(String(45), nullable=True)</w:t>
        <w:br/>
        <w:t xml:space="preserve">    timestamp = Column(DateTime(timezone=True), default=lambda: datetime.now(timezone.utc))</w:t>
        <w:br/>
        <w:t xml:space="preserve">    previous_log_hash = Column(String(64), nullable=True)  # SHA-256 of preceding block</w:t>
        <w:br/>
        <w:t xml:space="preserve">    current_hash = Column(String(64), nullable=False)       # SHA-256(prev_hash + current data)</w:t>
      </w:r>
    </w:p>
    <w:p>
      <w:pPr>
        <w:spacing w:before="200" w:after="80"/>
      </w:pPr>
      <w:r>
        <w:rPr>
          <w:b/>
          <w:sz w:val="24"/>
        </w:rPr>
        <w:t>B.3 Precedent Model with 208-Corpus Metadata (backend/app/models/case.py)</w:t>
      </w:r>
    </w:p>
    <w:p>
      <w:pPr>
        <w:spacing w:before="80" w:after="160" w:line="240" w:lineRule="auto"/>
      </w:pPr>
      <w:r>
        <w:rPr>
          <w:rFonts w:ascii="Courier New" w:hAnsi="Courier New"/>
          <w:sz w:val="17"/>
        </w:rPr>
        <w:t>class Case(Base):</w:t>
        <w:br/>
        <w:t xml:space="preserve">    __tablename__ = 'cases'</w:t>
        <w:br/>
        <w:t xml:space="preserve">    id = Column(String(36), primary_key=True, default=lambda: str(uuid.uuid4()))</w:t>
        <w:br/>
        <w:t xml:space="preserve">    cnr_number = Column(String(16), index=True, nullable=True)</w:t>
        <w:br/>
        <w:t xml:space="preserve">    case_no = Column(String(100), index=True, nullable=False)</w:t>
        <w:br/>
        <w:t xml:space="preserve">    title = Column(String(300), index=True, nullable=False)</w:t>
        <w:br/>
        <w:t xml:space="preserve">    court = Column(String(150), index=True, nullable=False)</w:t>
        <w:br/>
        <w:t xml:space="preserve">    year = Column(Integer, index=True, nullable=False)</w:t>
        <w:br/>
        <w:t xml:space="preserve">    judge = Column(String(255), nullable=True)</w:t>
        <w:br/>
        <w:t xml:space="preserve">    parties = Column(String(500), nullable=True)</w:t>
        <w:br/>
        <w:t xml:space="preserve">    section_tags = Column(JSON, nullable=True)</w:t>
        <w:br/>
        <w:t xml:space="preserve">    ratio_decidendi = Column(Text, nullable=True)</w:t>
        <w:br/>
        <w:t xml:space="preserve">    file_path = Column(String(500), nullable=False)</w:t>
        <w:br/>
        <w:t xml:space="preserve">    file_hash = Column(String(64), nullable=False)  # SHA-256 Checksum</w:t>
        <w:br/>
        <w:t xml:space="preserve">    status = Column(String(50), default='pending_approval')</w:t>
      </w:r>
    </w:p>
    <w:p>
      <w:pPr>
        <w:spacing w:before="200" w:after="80"/>
      </w:pPr>
      <w:r>
        <w:rPr>
          <w:b/>
          <w:sz w:val="24"/>
        </w:rPr>
        <w:t>B.4 AI Microservice Client with Circuit Breaker (backend/app/services/ai_api_service.py)</w:t>
      </w:r>
    </w:p>
    <w:p>
      <w:pPr>
        <w:spacing w:before="80" w:after="160" w:line="240" w:lineRule="auto"/>
      </w:pPr>
      <w:r>
        <w:rPr>
          <w:rFonts w:ascii="Courier New" w:hAnsi="Courier New"/>
          <w:sz w:val="17"/>
        </w:rPr>
        <w:t>class AIApiService:</w:t>
        <w:br/>
        <w:t xml:space="preserve">    def __init__(self, base_url: str = 'http://127.0.0.1:8001'):</w:t>
        <w:br/>
        <w:t xml:space="preserve">        self.base_url = base_url.rstrip('/')</w:t>
        <w:br/>
        <w:t xml:space="preserve">        self._is_online = None</w:t>
        <w:br/>
        <w:t xml:space="preserve">        self._last_check_ts = 0.0</w:t>
        <w:br/>
        <w:br/>
        <w:t xml:space="preserve">    async def embed_text(self, text: str) -&gt; List[float]:</w:t>
        <w:br/>
        <w:t xml:space="preserve">        if not self._should_attempt_remote():</w:t>
        <w:br/>
        <w:t xml:space="preserve">            return self._heuristic_embedding(text)</w:t>
        <w:br/>
        <w:t xml:space="preserve">        try:</w:t>
        <w:br/>
        <w:t xml:space="preserve">            async with httpx.AsyncClient(timeout=3.0) as client:</w:t>
        <w:br/>
        <w:t xml:space="preserve">                resp = await client.post(f'{self.base_url}/embed', json={'text': text})</w:t>
        <w:br/>
        <w:t xml:space="preserve">                if resp.status_code == 200:</w:t>
        <w:br/>
        <w:t xml:space="preserve">                    return resp.json()['embedding']</w:t>
        <w:br/>
        <w:t xml:space="preserve">        except Exception:</w:t>
        <w:br/>
        <w:t xml:space="preserve">            self._is_online = False</w:t>
        <w:br/>
        <w:t xml:space="preserve">        return self._heuristic_embedding(text)</w:t>
      </w:r>
    </w:p>
    <w:p>
      <w:r>
        <w:br w:type="page"/>
      </w:r>
    </w:p>
    <w:p>
      <w:pPr>
        <w:spacing w:before="240" w:after="320"/>
        <w:jc w:val="center"/>
      </w:pPr>
      <w:r>
        <w:rPr>
          <w:b/>
          <w:sz w:val="32"/>
        </w:rPr>
        <w:t>REFERENCES</w:t>
      </w:r>
    </w:p>
    <w:p>
      <w:pPr>
        <w:spacing w:line="312" w:lineRule="auto" w:after="120"/>
        <w:jc w:val="both"/>
      </w:pPr>
      <w:r>
        <w:t>[1]  IEEE Std 830-1998, "IEEE Recommended Practice for Software Requirements Specifications," IEEE Computer Society, 1998.</w:t>
      </w:r>
    </w:p>
    <w:p>
      <w:pPr>
        <w:spacing w:line="312" w:lineRule="auto" w:after="120"/>
        <w:jc w:val="both"/>
      </w:pPr>
      <w:r>
        <w:t>[2]  National Informatics Centre (NIC), "e-Courts Project Phase III: Vision &amp; Implementation Strategy," e-Committee, Supreme Court of India, 2023.</w:t>
      </w:r>
    </w:p>
    <w:p>
      <w:pPr>
        <w:spacing w:line="312" w:lineRule="auto" w:after="120"/>
        <w:jc w:val="both"/>
      </w:pPr>
      <w:r>
        <w:t>[3]  A. Vaswani, N. Shazeer, N. Parmar, J. Uszkoreit, L. Jones, A. N. Gomez, L. Kaiser, and I. Polosukhin, "Attention is all you need," Advances in Neural Information Processing Systems (NeurIPS), vol. 30, pp. 5998–6008, 2017.</w:t>
      </w:r>
    </w:p>
    <w:p>
      <w:pPr>
        <w:spacing w:line="312" w:lineRule="auto" w:after="120"/>
        <w:jc w:val="both"/>
      </w:pPr>
      <w:r>
        <w:t>[4]  V. Paul, P. Goel, and S. Ghosh, "InLegalBERT: A Pre-trained Language Model for Indian Legal Domain," in Proceedings of the Natural Legal Language Processing Workshop (NLLP), 2021.</w:t>
      </w:r>
    </w:p>
    <w:p>
      <w:pPr>
        <w:spacing w:line="312" w:lineRule="auto" w:after="120"/>
        <w:jc w:val="both"/>
      </w:pPr>
      <w:r>
        <w:t>[5]  N. Reimers and I. Gurevych, "Sentence-BERT: Sentence Embeddings using Siamese BERT-Networks," in Proceedings of the 2019 Conference on Empirical Methods in Natural Language Processing (EMNLP), 2019.</w:t>
      </w:r>
    </w:p>
    <w:p>
      <w:pPr>
        <w:spacing w:line="312" w:lineRule="auto" w:after="120"/>
        <w:jc w:val="both"/>
      </w:pPr>
      <w:r>
        <w:t>[6]  Open Worldwide Application Security Project (OWASP), "OWASP Top 10: 2025 Application Security Risks," OWASP Foundation, 2025. [Online]. Available: https://owasp.org</w:t>
      </w:r>
    </w:p>
    <w:p>
      <w:pPr>
        <w:spacing w:line="312" w:lineRule="auto" w:after="120"/>
        <w:jc w:val="both"/>
      </w:pPr>
      <w:r>
        <w:t>[7]  National Institute of Standards and Technology (NIST), "Secure Hash Standard (SHS)," Federal Information Processing Standards Publication (FIPS PUB 180-4), Aug. 2015.</w:t>
      </w:r>
    </w:p>
    <w:p>
      <w:pPr>
        <w:spacing w:line="312" w:lineRule="auto" w:after="120"/>
        <w:jc w:val="both"/>
      </w:pPr>
      <w:r>
        <w:t>[8]  FastAPI Documentation, "FastAPI Web Framework, High Performance, Easy to Learn, Fast to Code," Tiangolo, 2024. [Online]. Available: https://fastapi.tiangolo.com</w:t>
      </w:r>
    </w:p>
    <w:p>
      <w:pPr>
        <w:spacing w:line="312" w:lineRule="auto" w:after="120"/>
        <w:jc w:val="both"/>
      </w:pPr>
      <w:r>
        <w:t>[9]  W3C Web Cryptography Working Group, "Web Cryptography API - W3C Recommendation," World Wide Web Consortium, 2017. [Online]. Available: https://www.w3.org/TR/WebCryptoAPI/</w:t>
      </w:r>
    </w:p>
    <w:p>
      <w:pPr>
        <w:spacing w:line="312" w:lineRule="auto" w:after="120"/>
        <w:jc w:val="both"/>
      </w:pPr>
      <w:r>
        <w:t>[10] PostgreSQL Global Development Group, "PostgreSQL 17 Documentation: Full Text Search &amp; Relational Integrity," 2024. [Online]. Available: https://www.postgresql.org/docs/17/</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