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pPr>
        <w:spacing w:line="360" w:lineRule="auto"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pPr>
        <w:spacing w:line="360" w:lineRule="auto"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Chapter</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Ch 1, 2, 3, 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Ch 1, 3, 4</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Ch 1, 2</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208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Ch 1, 3</w:t>
            </w:r>
          </w:p>
        </w:tc>
      </w:tr>
    </w:tbl>
    <w:p>
      <w:r>
        <w:br w:type="page"/>
      </w:r>
    </w:p>
    <w:p>
      <w:pPr>
        <w:spacing w:after="360"/>
        <w:jc w:val="center"/>
      </w:pPr>
      <w:r>
        <w:rPr>
          <w:b/>
          <w:sz w:val="28"/>
        </w:rPr>
        <w:t>TABLE OF CONTENTS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CHAPTER NO.</w:t>
            </w:r>
          </w:p>
        </w:tc>
        <w:tc>
          <w:tcPr>
            <w:tcW w:type="dxa" w:w="3000"/>
            <w:tcMar>
              <w:top w:w="100" w:type="dxa"/>
              <w:bottom w:w="100" w:type="dxa"/>
              <w:left w:w="100" w:type="dxa"/>
              <w:right w:w="100" w:type="dxa"/>
            </w:tcMar>
            <w:shd w:fill="E0E7FF"/>
          </w:tcPr>
          <w:p>
            <w:pPr>
              <w:jc w:val="center"/>
            </w:pPr>
            <w:r>
              <w:rPr>
                <w:b/>
                <w:sz w:val="21"/>
              </w:rPr>
              <w:t>TITLE</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ABSTRACT</w:t>
            </w:r>
          </w:p>
        </w:tc>
        <w:tc>
          <w:tcPr>
            <w:tcW w:type="dxa" w:w="1152"/>
            <w:tcMar>
              <w:top w:w="60" w:type="dxa"/>
              <w:bottom w:w="60" w:type="dxa"/>
              <w:left w:w="100" w:type="dxa"/>
              <w:right w:w="100" w:type="dxa"/>
            </w:tcMar>
          </w:tcPr>
          <w:p>
            <w:pPr>
              <w:spacing w:line="276" w:lineRule="auto"/>
              <w:jc w:val="center"/>
            </w:pPr>
            <w:r>
              <w:rPr>
                <w:b/>
                <w:sz w:val="19"/>
              </w:rPr>
              <w:t>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ACKNOWLEDGEMENT</w:t>
            </w:r>
          </w:p>
        </w:tc>
        <w:tc>
          <w:tcPr>
            <w:tcW w:type="dxa" w:w="1152"/>
            <w:tcMar>
              <w:top w:w="60" w:type="dxa"/>
              <w:bottom w:w="60" w:type="dxa"/>
              <w:left w:w="100" w:type="dxa"/>
              <w:right w:w="100" w:type="dxa"/>
            </w:tcMar>
          </w:tcPr>
          <w:p>
            <w:pPr>
              <w:spacing w:line="276" w:lineRule="auto"/>
              <w:jc w:val="center"/>
            </w:pPr>
            <w:r>
              <w:rPr>
                <w:sz w:val="19"/>
              </w:rPr>
              <w:t>iii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SDGs ALIGNMENT</w:t>
            </w:r>
          </w:p>
        </w:tc>
        <w:tc>
          <w:tcPr>
            <w:tcW w:type="dxa" w:w="1152"/>
            <w:tcMar>
              <w:top w:w="60" w:type="dxa"/>
              <w:bottom w:w="60" w:type="dxa"/>
              <w:left w:w="100" w:type="dxa"/>
              <w:right w:w="100" w:type="dxa"/>
            </w:tcMar>
          </w:tcPr>
          <w:p>
            <w:pPr>
              <w:spacing w:line="276" w:lineRule="auto"/>
              <w:jc w:val="center"/>
            </w:pPr>
            <w:r>
              <w:rPr>
                <w:sz w:val="19"/>
              </w:rPr>
              <w:t>iv</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TABLES</w:t>
            </w:r>
          </w:p>
        </w:tc>
        <w:tc>
          <w:tcPr>
            <w:tcW w:type="dxa" w:w="1152"/>
            <w:tcMar>
              <w:top w:w="60" w:type="dxa"/>
              <w:bottom w:w="60" w:type="dxa"/>
              <w:left w:w="100" w:type="dxa"/>
              <w:right w:w="100" w:type="dxa"/>
            </w:tcMar>
          </w:tcPr>
          <w:p>
            <w:pPr>
              <w:spacing w:line="276" w:lineRule="auto"/>
              <w:jc w:val="center"/>
            </w:pPr>
            <w:r>
              <w:rPr>
                <w:sz w:val="19"/>
              </w:rPr>
              <w:t>vi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FIGURES</w:t>
            </w:r>
          </w:p>
        </w:tc>
        <w:tc>
          <w:tcPr>
            <w:tcW w:type="dxa" w:w="1152"/>
            <w:tcMar>
              <w:top w:w="60" w:type="dxa"/>
              <w:bottom w:w="60" w:type="dxa"/>
              <w:left w:w="100" w:type="dxa"/>
              <w:right w:w="100" w:type="dxa"/>
            </w:tcMar>
          </w:tcPr>
          <w:p>
            <w:pPr>
              <w:spacing w:line="276" w:lineRule="auto"/>
              <w:jc w:val="center"/>
            </w:pPr>
            <w:r>
              <w:rPr>
                <w:sz w:val="19"/>
              </w:rPr>
              <w:t>vii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ABBREVIATIONS</w:t>
            </w:r>
          </w:p>
        </w:tc>
        <w:tc>
          <w:tcPr>
            <w:tcW w:type="dxa" w:w="1152"/>
            <w:tcMar>
              <w:top w:w="60" w:type="dxa"/>
              <w:bottom w:w="60" w:type="dxa"/>
              <w:left w:w="100" w:type="dxa"/>
              <w:right w:w="100" w:type="dxa"/>
            </w:tcMar>
          </w:tcPr>
          <w:p>
            <w:pPr>
              <w:spacing w:line="276" w:lineRule="auto"/>
              <w:jc w:val="center"/>
            </w:pPr>
            <w:r>
              <w:rPr>
                <w:sz w:val="19"/>
              </w:rPr>
              <w:t>viii</w:t>
            </w:r>
          </w:p>
        </w:tc>
      </w:tr>
      <w:tr>
        <w:tc>
          <w:tcPr>
            <w:tcW w:type="dxa" w:w="1728"/>
            <w:tcMar>
              <w:top w:w="60" w:type="dxa"/>
              <w:bottom w:w="60" w:type="dxa"/>
              <w:left w:w="100" w:type="dxa"/>
              <w:right w:w="100" w:type="dxa"/>
            </w:tcMar>
          </w:tcPr>
          <w:p>
            <w:pPr>
              <w:spacing w:line="276" w:lineRule="auto"/>
              <w:jc w:val="center"/>
            </w:pPr>
            <w:r>
              <w:rPr>
                <w:b/>
                <w:sz w:val="19"/>
              </w:rPr>
              <w:t>1</w:t>
            </w:r>
          </w:p>
        </w:tc>
        <w:tc>
          <w:tcPr>
            <w:tcW w:type="dxa" w:w="6480"/>
            <w:tcMar>
              <w:top w:w="60" w:type="dxa"/>
              <w:bottom w:w="60" w:type="dxa"/>
              <w:left w:w="100" w:type="dxa"/>
              <w:right w:w="100" w:type="dxa"/>
            </w:tcMar>
          </w:tcPr>
          <w:p>
            <w:pPr>
              <w:spacing w:line="276" w:lineRule="auto"/>
              <w:jc w:val="left"/>
            </w:pPr>
            <w:r>
              <w:rPr>
                <w:b/>
                <w:sz w:val="19"/>
              </w:rPr>
              <w:t>INTRODUCTION</w:t>
            </w:r>
          </w:p>
        </w:tc>
        <w:tc>
          <w:tcPr>
            <w:tcW w:type="dxa" w:w="1152"/>
            <w:tcMar>
              <w:top w:w="60" w:type="dxa"/>
              <w:bottom w:w="60" w:type="dxa"/>
              <w:left w:w="100" w:type="dxa"/>
              <w:right w:w="100" w:type="dxa"/>
            </w:tcMar>
          </w:tcPr>
          <w:p>
            <w:pPr>
              <w:spacing w:line="276" w:lineRule="auto"/>
              <w:jc w:val="center"/>
            </w:pPr>
            <w:r>
              <w:rPr>
                <w:b/>
                <w:sz w:val="19"/>
              </w:rPr>
              <w:t>1</w:t>
            </w:r>
          </w:p>
        </w:tc>
      </w:tr>
      <w:tr>
        <w:tc>
          <w:tcPr>
            <w:tcW w:type="dxa" w:w="1728"/>
            <w:tcMar>
              <w:top w:w="60" w:type="dxa"/>
              <w:bottom w:w="60" w:type="dxa"/>
              <w:left w:w="100" w:type="dxa"/>
              <w:right w:w="100" w:type="dxa"/>
            </w:tcMar>
          </w:tcPr>
          <w:p>
            <w:pPr>
              <w:spacing w:line="276" w:lineRule="auto"/>
              <w:jc w:val="center"/>
            </w:pPr>
            <w:r>
              <w:rPr>
                <w:sz w:val="19"/>
              </w:rPr>
              <w:t>1.1</w:t>
            </w:r>
          </w:p>
        </w:tc>
        <w:tc>
          <w:tcPr>
            <w:tcW w:type="dxa" w:w="6480"/>
            <w:tcMar>
              <w:top w:w="60" w:type="dxa"/>
              <w:bottom w:w="60" w:type="dxa"/>
              <w:left w:w="100" w:type="dxa"/>
              <w:right w:w="100" w:type="dxa"/>
            </w:tcMar>
          </w:tcPr>
          <w:p>
            <w:pPr>
              <w:spacing w:line="276" w:lineRule="auto"/>
              <w:jc w:val="left"/>
            </w:pPr>
            <w:r>
              <w:rPr>
                <w:sz w:val="19"/>
              </w:rPr>
              <w:t xml:space="preserve">    Overview</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1.2</w:t>
            </w:r>
          </w:p>
        </w:tc>
        <w:tc>
          <w:tcPr>
            <w:tcW w:type="dxa" w:w="6480"/>
            <w:tcMar>
              <w:top w:w="60" w:type="dxa"/>
              <w:bottom w:w="60" w:type="dxa"/>
              <w:left w:w="100" w:type="dxa"/>
              <w:right w:w="100" w:type="dxa"/>
            </w:tcMar>
          </w:tcPr>
          <w:p>
            <w:pPr>
              <w:spacing w:line="276" w:lineRule="auto"/>
              <w:jc w:val="left"/>
            </w:pPr>
            <w:r>
              <w:rPr>
                <w:sz w:val="19"/>
              </w:rPr>
              <w:t xml:space="preserve">    Purpose</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1.3</w:t>
            </w:r>
          </w:p>
        </w:tc>
        <w:tc>
          <w:tcPr>
            <w:tcW w:type="dxa" w:w="6480"/>
            <w:tcMar>
              <w:top w:w="60" w:type="dxa"/>
              <w:bottom w:w="60" w:type="dxa"/>
              <w:left w:w="100" w:type="dxa"/>
              <w:right w:w="100" w:type="dxa"/>
            </w:tcMar>
          </w:tcPr>
          <w:p>
            <w:pPr>
              <w:spacing w:line="276" w:lineRule="auto"/>
              <w:jc w:val="left"/>
            </w:pPr>
            <w:r>
              <w:rPr>
                <w:sz w:val="19"/>
              </w:rPr>
              <w:t xml:space="preserve">    Outcome</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1.4</w:t>
            </w:r>
          </w:p>
        </w:tc>
        <w:tc>
          <w:tcPr>
            <w:tcW w:type="dxa" w:w="6480"/>
            <w:tcMar>
              <w:top w:w="60" w:type="dxa"/>
              <w:bottom w:w="60" w:type="dxa"/>
              <w:left w:w="100" w:type="dxa"/>
              <w:right w:w="100" w:type="dxa"/>
            </w:tcMar>
          </w:tcPr>
          <w:p>
            <w:pPr>
              <w:spacing w:line="276" w:lineRule="auto"/>
              <w:jc w:val="left"/>
            </w:pPr>
            <w:r>
              <w:rPr>
                <w:sz w:val="19"/>
              </w:rPr>
              <w:t xml:space="preserve">    Objectives</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1.5</w:t>
            </w:r>
          </w:p>
        </w:tc>
        <w:tc>
          <w:tcPr>
            <w:tcW w:type="dxa" w:w="6480"/>
            <w:tcMar>
              <w:top w:w="60" w:type="dxa"/>
              <w:bottom w:w="60" w:type="dxa"/>
              <w:left w:w="100" w:type="dxa"/>
              <w:right w:w="100" w:type="dxa"/>
            </w:tcMar>
          </w:tcPr>
          <w:p>
            <w:pPr>
              <w:spacing w:line="276" w:lineRule="auto"/>
              <w:jc w:val="left"/>
            </w:pPr>
            <w:r>
              <w:rPr>
                <w:sz w:val="19"/>
              </w:rPr>
              <w:t xml:space="preserve">    Applications</w:t>
            </w:r>
          </w:p>
        </w:tc>
        <w:tc>
          <w:tcPr>
            <w:tcW w:type="dxa" w:w="1152"/>
            <w:tcMar>
              <w:top w:w="60" w:type="dxa"/>
              <w:bottom w:w="60" w:type="dxa"/>
              <w:left w:w="100" w:type="dxa"/>
              <w:right w:w="100" w:type="dxa"/>
            </w:tcMar>
          </w:tcPr>
          <w:p>
            <w:pPr>
              <w:spacing w:line="276" w:lineRule="auto"/>
              <w:jc w:val="center"/>
            </w:pPr>
            <w:r>
              <w:rPr>
                <w:sz w:val="19"/>
              </w:rPr>
              <w:t>3</w:t>
            </w:r>
          </w:p>
        </w:tc>
      </w:tr>
      <w:tr>
        <w:tc>
          <w:tcPr>
            <w:tcW w:type="dxa" w:w="1728"/>
            <w:tcMar>
              <w:top w:w="60" w:type="dxa"/>
              <w:bottom w:w="60" w:type="dxa"/>
              <w:left w:w="100" w:type="dxa"/>
              <w:right w:w="100" w:type="dxa"/>
            </w:tcMar>
          </w:tcPr>
          <w:p>
            <w:pPr>
              <w:spacing w:line="276" w:lineRule="auto"/>
              <w:jc w:val="center"/>
            </w:pPr>
            <w:r>
              <w:rPr>
                <w:b/>
                <w:sz w:val="19"/>
              </w:rPr>
              <w:t>2</w:t>
            </w:r>
          </w:p>
        </w:tc>
        <w:tc>
          <w:tcPr>
            <w:tcW w:type="dxa" w:w="6480"/>
            <w:tcMar>
              <w:top w:w="60" w:type="dxa"/>
              <w:bottom w:w="60" w:type="dxa"/>
              <w:left w:w="100" w:type="dxa"/>
              <w:right w:w="100" w:type="dxa"/>
            </w:tcMar>
          </w:tcPr>
          <w:p>
            <w:pPr>
              <w:spacing w:line="276" w:lineRule="auto"/>
              <w:jc w:val="left"/>
            </w:pPr>
            <w:r>
              <w:rPr>
                <w:b/>
                <w:sz w:val="19"/>
              </w:rPr>
              <w:t>EXISTING &amp; PROPOSED MODEL</w:t>
            </w:r>
          </w:p>
        </w:tc>
        <w:tc>
          <w:tcPr>
            <w:tcW w:type="dxa" w:w="1152"/>
            <w:tcMar>
              <w:top w:w="60" w:type="dxa"/>
              <w:bottom w:w="60" w:type="dxa"/>
              <w:left w:w="100" w:type="dxa"/>
              <w:right w:w="100" w:type="dxa"/>
            </w:tcMar>
          </w:tcPr>
          <w:p>
            <w:pPr>
              <w:spacing w:line="276" w:lineRule="auto"/>
              <w:jc w:val="center"/>
            </w:pPr>
            <w:r>
              <w:rPr>
                <w:b/>
                <w:sz w:val="19"/>
              </w:rPr>
              <w:t>4</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 xml:space="preserve">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2.2</w:t>
            </w:r>
          </w:p>
        </w:tc>
        <w:tc>
          <w:tcPr>
            <w:tcW w:type="dxa" w:w="6480"/>
            <w:tcMar>
              <w:top w:w="60" w:type="dxa"/>
              <w:bottom w:w="60" w:type="dxa"/>
              <w:left w:w="100" w:type="dxa"/>
              <w:right w:w="100" w:type="dxa"/>
            </w:tcMar>
          </w:tcPr>
          <w:p>
            <w:pPr>
              <w:spacing w:line="276" w:lineRule="auto"/>
              <w:jc w:val="left"/>
            </w:pPr>
            <w:r>
              <w:rPr>
                <w:sz w:val="19"/>
              </w:rPr>
              <w:t xml:space="preserve">    Limitations of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2.3</w:t>
            </w:r>
          </w:p>
        </w:tc>
        <w:tc>
          <w:tcPr>
            <w:tcW w:type="dxa" w:w="6480"/>
            <w:tcMar>
              <w:top w:w="60" w:type="dxa"/>
              <w:bottom w:w="60" w:type="dxa"/>
              <w:left w:w="100" w:type="dxa"/>
              <w:right w:w="100" w:type="dxa"/>
            </w:tcMar>
          </w:tcPr>
          <w:p>
            <w:pPr>
              <w:spacing w:line="276" w:lineRule="auto"/>
              <w:jc w:val="left"/>
            </w:pPr>
            <w:r>
              <w:rPr>
                <w:sz w:val="19"/>
              </w:rPr>
              <w:t xml:space="preserve">    Proposed System</w:t>
            </w:r>
          </w:p>
        </w:tc>
        <w:tc>
          <w:tcPr>
            <w:tcW w:type="dxa" w:w="1152"/>
            <w:tcMar>
              <w:top w:w="60" w:type="dxa"/>
              <w:bottom w:w="60" w:type="dxa"/>
              <w:left w:w="100" w:type="dxa"/>
              <w:right w:w="100" w:type="dxa"/>
            </w:tcMar>
          </w:tcPr>
          <w:p>
            <w:pPr>
              <w:spacing w:line="276" w:lineRule="auto"/>
              <w:jc w:val="center"/>
            </w:pPr>
            <w:r>
              <w:rPr>
                <w:sz w:val="19"/>
              </w:rPr>
              <w:t>5</w:t>
            </w:r>
          </w:p>
        </w:tc>
      </w:tr>
      <w:tr>
        <w:tc>
          <w:tcPr>
            <w:tcW w:type="dxa" w:w="1728"/>
            <w:tcMar>
              <w:top w:w="60" w:type="dxa"/>
              <w:bottom w:w="60" w:type="dxa"/>
              <w:left w:w="100" w:type="dxa"/>
              <w:right w:w="100" w:type="dxa"/>
            </w:tcMar>
          </w:tcPr>
          <w:p>
            <w:pPr>
              <w:spacing w:line="276" w:lineRule="auto"/>
              <w:jc w:val="center"/>
            </w:pPr>
            <w:r>
              <w:rPr>
                <w:sz w:val="19"/>
              </w:rPr>
              <w:t>2.4</w:t>
            </w:r>
          </w:p>
        </w:tc>
        <w:tc>
          <w:tcPr>
            <w:tcW w:type="dxa" w:w="6480"/>
            <w:tcMar>
              <w:top w:w="60" w:type="dxa"/>
              <w:bottom w:w="60" w:type="dxa"/>
              <w:left w:w="100" w:type="dxa"/>
              <w:right w:w="100" w:type="dxa"/>
            </w:tcMar>
          </w:tcPr>
          <w:p>
            <w:pPr>
              <w:spacing w:line="276" w:lineRule="auto"/>
              <w:jc w:val="left"/>
            </w:pPr>
            <w:r>
              <w:rPr>
                <w:sz w:val="19"/>
              </w:rPr>
              <w:t xml:space="preserve">    Advantages of Proposed System</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2.5</w:t>
            </w:r>
          </w:p>
        </w:tc>
        <w:tc>
          <w:tcPr>
            <w:tcW w:type="dxa" w:w="6480"/>
            <w:tcMar>
              <w:top w:w="60" w:type="dxa"/>
              <w:bottom w:w="60" w:type="dxa"/>
              <w:left w:w="100" w:type="dxa"/>
              <w:right w:w="100" w:type="dxa"/>
            </w:tcMar>
          </w:tcPr>
          <w:p>
            <w:pPr>
              <w:spacing w:line="276" w:lineRule="auto"/>
              <w:jc w:val="left"/>
            </w:pPr>
            <w:r>
              <w:rPr>
                <w:sz w:val="19"/>
              </w:rPr>
              <w:t xml:space="preserve">    Feasibility Study</w:t>
            </w:r>
          </w:p>
        </w:tc>
        <w:tc>
          <w:tcPr>
            <w:tcW w:type="dxa" w:w="1152"/>
            <w:tcMar>
              <w:top w:w="60" w:type="dxa"/>
              <w:bottom w:w="60" w:type="dxa"/>
              <w:left w:w="100" w:type="dxa"/>
              <w:right w:w="100" w:type="dxa"/>
            </w:tcMar>
          </w:tcPr>
          <w:p>
            <w:pPr>
              <w:spacing w:line="276" w:lineRule="auto"/>
              <w:jc w:val="center"/>
            </w:pPr>
            <w:r>
              <w:rPr>
                <w:sz w:val="19"/>
              </w:rPr>
              <w:t>7</w:t>
            </w:r>
          </w:p>
        </w:tc>
      </w:tr>
      <w:tr>
        <w:tc>
          <w:tcPr>
            <w:tcW w:type="dxa" w:w="1728"/>
            <w:tcMar>
              <w:top w:w="60" w:type="dxa"/>
              <w:bottom w:w="60" w:type="dxa"/>
              <w:left w:w="100" w:type="dxa"/>
              <w:right w:w="100" w:type="dxa"/>
            </w:tcMar>
          </w:tcPr>
          <w:p>
            <w:pPr>
              <w:spacing w:line="276" w:lineRule="auto"/>
              <w:jc w:val="center"/>
            </w:pPr>
            <w:r>
              <w:rPr>
                <w:b/>
                <w:sz w:val="19"/>
              </w:rPr>
              <w:t>3</w:t>
            </w:r>
          </w:p>
        </w:tc>
        <w:tc>
          <w:tcPr>
            <w:tcW w:type="dxa" w:w="6480"/>
            <w:tcMar>
              <w:top w:w="60" w:type="dxa"/>
              <w:bottom w:w="60" w:type="dxa"/>
              <w:left w:w="100" w:type="dxa"/>
              <w:right w:w="100" w:type="dxa"/>
            </w:tcMar>
          </w:tcPr>
          <w:p>
            <w:pPr>
              <w:spacing w:line="276" w:lineRule="auto"/>
              <w:jc w:val="left"/>
            </w:pPr>
            <w:r>
              <w:rPr>
                <w:b/>
                <w:sz w:val="19"/>
              </w:rPr>
              <w:t>SYSTEM DESIGN</w:t>
            </w:r>
          </w:p>
        </w:tc>
        <w:tc>
          <w:tcPr>
            <w:tcW w:type="dxa" w:w="1152"/>
            <w:tcMar>
              <w:top w:w="60" w:type="dxa"/>
              <w:bottom w:w="60" w:type="dxa"/>
              <w:left w:w="100" w:type="dxa"/>
              <w:right w:w="100" w:type="dxa"/>
            </w:tcMar>
          </w:tcPr>
          <w:p>
            <w:pPr>
              <w:spacing w:line="276" w:lineRule="auto"/>
              <w:jc w:val="center"/>
            </w:pPr>
            <w:r>
              <w:rPr>
                <w:b/>
                <w:sz w:val="19"/>
              </w:rPr>
              <w:t>9</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 xml:space="preserve">    Software Requirements Specifications (SRS)</w:t>
            </w:r>
          </w:p>
        </w:tc>
        <w:tc>
          <w:tcPr>
            <w:tcW w:type="dxa" w:w="1152"/>
            <w:tcMar>
              <w:top w:w="60" w:type="dxa"/>
              <w:bottom w:w="60" w:type="dxa"/>
              <w:left w:w="100" w:type="dxa"/>
              <w:right w:w="100" w:type="dxa"/>
            </w:tcMar>
          </w:tcPr>
          <w:p>
            <w:pPr>
              <w:spacing w:line="276" w:lineRule="auto"/>
              <w:jc w:val="center"/>
            </w:pPr>
            <w:r>
              <w:rPr>
                <w:sz w:val="19"/>
              </w:rPr>
              <w:t>9</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 xml:space="preserve">    UML Diagrams &amp; Design Diagrams</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 xml:space="preserve">    Design Components</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 xml:space="preserve">    Databases Description</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 xml:space="preserve">    User Interface Design</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 xml:space="preserve">    Low Level Design (LLD)</w:t>
            </w:r>
          </w:p>
        </w:tc>
        <w:tc>
          <w:tcPr>
            <w:tcW w:type="dxa" w:w="1152"/>
            <w:tcMar>
              <w:top w:w="60" w:type="dxa"/>
              <w:bottom w:w="60" w:type="dxa"/>
              <w:left w:w="100" w:type="dxa"/>
              <w:right w:w="100" w:type="dxa"/>
            </w:tcMar>
          </w:tcPr>
          <w:p>
            <w:pPr>
              <w:spacing w:line="276" w:lineRule="auto"/>
              <w:jc w:val="center"/>
            </w:pPr>
            <w:r>
              <w:rPr>
                <w:sz w:val="19"/>
              </w:rPr>
              <w:t>28</w:t>
            </w:r>
          </w:p>
        </w:tc>
      </w:tr>
      <w:tr>
        <w:tc>
          <w:tcPr>
            <w:tcW w:type="dxa" w:w="1728"/>
            <w:tcMar>
              <w:top w:w="60" w:type="dxa"/>
              <w:bottom w:w="60" w:type="dxa"/>
              <w:left w:w="100" w:type="dxa"/>
              <w:right w:w="100" w:type="dxa"/>
            </w:tcMar>
          </w:tcPr>
          <w:p>
            <w:pPr>
              <w:spacing w:line="276" w:lineRule="auto"/>
              <w:jc w:val="center"/>
            </w:pPr>
            <w:r>
              <w:rPr>
                <w:b/>
                <w:sz w:val="19"/>
              </w:rPr>
              <w:t>4</w:t>
            </w:r>
          </w:p>
        </w:tc>
        <w:tc>
          <w:tcPr>
            <w:tcW w:type="dxa" w:w="6480"/>
            <w:tcMar>
              <w:top w:w="60" w:type="dxa"/>
              <w:bottom w:w="60" w:type="dxa"/>
              <w:left w:w="100" w:type="dxa"/>
              <w:right w:w="100" w:type="dxa"/>
            </w:tcMar>
          </w:tcPr>
          <w:p>
            <w:pPr>
              <w:spacing w:line="276" w:lineRule="auto"/>
              <w:jc w:val="left"/>
            </w:pPr>
            <w:r>
              <w:rPr>
                <w:b/>
                <w:sz w:val="19"/>
              </w:rPr>
              <w:t>SYSTEM IMPLEMENTATION</w:t>
            </w:r>
          </w:p>
        </w:tc>
        <w:tc>
          <w:tcPr>
            <w:tcW w:type="dxa" w:w="1152"/>
            <w:tcMar>
              <w:top w:w="60" w:type="dxa"/>
              <w:bottom w:w="60" w:type="dxa"/>
              <w:left w:w="100" w:type="dxa"/>
              <w:right w:w="100" w:type="dxa"/>
            </w:tcMar>
          </w:tcPr>
          <w:p>
            <w:pPr>
              <w:spacing w:line="276" w:lineRule="auto"/>
              <w:jc w:val="center"/>
            </w:pPr>
            <w:r>
              <w:rPr>
                <w:b/>
                <w:sz w:val="19"/>
              </w:rPr>
              <w:t>30</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 xml:space="preserve">    Authentication &amp; Authorized Portal Implementation</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 xml:space="preserve">    Document Ingestion &amp; Cryptographic Hashing Implementation</w:t>
            </w:r>
          </w:p>
        </w:tc>
        <w:tc>
          <w:tcPr>
            <w:tcW w:type="dxa" w:w="1152"/>
            <w:tcMar>
              <w:top w:w="60" w:type="dxa"/>
              <w:bottom w:w="60" w:type="dxa"/>
              <w:left w:w="100" w:type="dxa"/>
              <w:right w:w="100" w:type="dxa"/>
            </w:tcMar>
          </w:tcPr>
          <w:p>
            <w:pPr>
              <w:spacing w:line="276" w:lineRule="auto"/>
              <w:jc w:val="center"/>
            </w:pPr>
            <w:r>
              <w:rPr>
                <w:sz w:val="19"/>
              </w:rPr>
              <w:t>32</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 xml:space="preserve">    Precedent Search &amp; Reciprocal Rank Fusion Implementation</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 xml:space="preserve">    Case Review &amp; CIS Workstation Implementation</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 xml:space="preserve">    Document Integrity Verification Implementation</w:t>
            </w:r>
          </w:p>
        </w:tc>
        <w:tc>
          <w:tcPr>
            <w:tcW w:type="dxa" w:w="1152"/>
            <w:tcMar>
              <w:top w:w="60" w:type="dxa"/>
              <w:bottom w:w="60" w:type="dxa"/>
              <w:left w:w="100" w:type="dxa"/>
              <w:right w:w="100" w:type="dxa"/>
            </w:tcMar>
          </w:tcPr>
          <w:p>
            <w:pPr>
              <w:spacing w:line="276" w:lineRule="auto"/>
              <w:jc w:val="center"/>
            </w:pPr>
            <w:r>
              <w:rPr>
                <w:sz w:val="19"/>
              </w:rPr>
              <w:t>36</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 xml:space="preserve">    AI Draft Studio &amp; Precedent Comparator Implementation</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b/>
                <w:sz w:val="19"/>
              </w:rPr>
              <w:t>5</w:t>
            </w:r>
          </w:p>
        </w:tc>
        <w:tc>
          <w:tcPr>
            <w:tcW w:type="dxa" w:w="6480"/>
            <w:tcMar>
              <w:top w:w="60" w:type="dxa"/>
              <w:bottom w:w="60" w:type="dxa"/>
              <w:left w:w="100" w:type="dxa"/>
              <w:right w:w="100" w:type="dxa"/>
            </w:tcMar>
          </w:tcPr>
          <w:p>
            <w:pPr>
              <w:spacing w:line="276" w:lineRule="auto"/>
              <w:jc w:val="left"/>
            </w:pPr>
            <w:r>
              <w:rPr>
                <w:b/>
                <w:sz w:val="19"/>
              </w:rPr>
              <w:t>RESULTS AND DISCUSSION</w:t>
            </w:r>
          </w:p>
        </w:tc>
        <w:tc>
          <w:tcPr>
            <w:tcW w:type="dxa" w:w="1152"/>
            <w:tcMar>
              <w:top w:w="60" w:type="dxa"/>
              <w:bottom w:w="60" w:type="dxa"/>
              <w:left w:w="100" w:type="dxa"/>
              <w:right w:w="100" w:type="dxa"/>
            </w:tcMar>
          </w:tcPr>
          <w:p>
            <w:pPr>
              <w:spacing w:line="276" w:lineRule="auto"/>
              <w:jc w:val="center"/>
            </w:pPr>
            <w:r>
              <w:rPr>
                <w:b/>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 xml:space="preserve">    Test Cases and Results</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 xml:space="preserve">    System Performance and Verification Discussion</w:t>
            </w:r>
          </w:p>
        </w:tc>
        <w:tc>
          <w:tcPr>
            <w:tcW w:type="dxa" w:w="1152"/>
            <w:tcMar>
              <w:top w:w="60" w:type="dxa"/>
              <w:bottom w:w="60" w:type="dxa"/>
              <w:left w:w="100" w:type="dxa"/>
              <w:right w:w="100" w:type="dxa"/>
            </w:tcMar>
          </w:tcPr>
          <w:p>
            <w:pPr>
              <w:spacing w:line="276" w:lineRule="auto"/>
              <w:jc w:val="center"/>
            </w:pPr>
            <w:r>
              <w:rPr>
                <w:sz w:val="19"/>
              </w:rPr>
              <w:t>46</w:t>
            </w:r>
          </w:p>
        </w:tc>
      </w:tr>
      <w:tr>
        <w:tc>
          <w:tcPr>
            <w:tcW w:type="dxa" w:w="1728"/>
            <w:tcMar>
              <w:top w:w="60" w:type="dxa"/>
              <w:bottom w:w="60" w:type="dxa"/>
              <w:left w:w="100" w:type="dxa"/>
              <w:right w:w="100" w:type="dxa"/>
            </w:tcMar>
          </w:tcPr>
          <w:p>
            <w:pPr>
              <w:spacing w:line="276" w:lineRule="auto"/>
              <w:jc w:val="center"/>
            </w:pPr>
            <w:r>
              <w:rPr>
                <w:b/>
                <w:sz w:val="19"/>
              </w:rPr>
              <w:t>6</w:t>
            </w:r>
          </w:p>
        </w:tc>
        <w:tc>
          <w:tcPr>
            <w:tcW w:type="dxa" w:w="6480"/>
            <w:tcMar>
              <w:top w:w="60" w:type="dxa"/>
              <w:bottom w:w="60" w:type="dxa"/>
              <w:left w:w="100" w:type="dxa"/>
              <w:right w:w="100" w:type="dxa"/>
            </w:tcMar>
          </w:tcPr>
          <w:p>
            <w:pPr>
              <w:spacing w:line="276" w:lineRule="auto"/>
              <w:jc w:val="left"/>
            </w:pPr>
            <w:r>
              <w:rPr>
                <w:b/>
                <w:sz w:val="19"/>
              </w:rPr>
              <w:t>CONCLUSION AND FUTURE ENHANCEMENT(S)</w:t>
            </w:r>
          </w:p>
        </w:tc>
        <w:tc>
          <w:tcPr>
            <w:tcW w:type="dxa" w:w="1152"/>
            <w:tcMar>
              <w:top w:w="60" w:type="dxa"/>
              <w:bottom w:w="60" w:type="dxa"/>
              <w:left w:w="100" w:type="dxa"/>
              <w:right w:w="100" w:type="dxa"/>
            </w:tcMar>
          </w:tcPr>
          <w:p>
            <w:pPr>
              <w:spacing w:line="276" w:lineRule="auto"/>
              <w:jc w:val="center"/>
            </w:pPr>
            <w:r>
              <w:rPr>
                <w:b/>
                <w:sz w:val="19"/>
              </w:rPr>
              <w:t>48</w:t>
            </w:r>
          </w:p>
        </w:tc>
      </w:tr>
      <w:tr>
        <w:tc>
          <w:tcPr>
            <w:tcW w:type="dxa" w:w="1728"/>
            <w:tcMar>
              <w:top w:w="60" w:type="dxa"/>
              <w:bottom w:w="60" w:type="dxa"/>
              <w:left w:w="100" w:type="dxa"/>
              <w:right w:w="100" w:type="dxa"/>
            </w:tcMar>
          </w:tcPr>
          <w:p>
            <w:pPr>
              <w:spacing w:line="276" w:lineRule="auto"/>
              <w:jc w:val="center"/>
            </w:pPr>
            <w:r>
              <w:rPr>
                <w:sz w:val="19"/>
              </w:rPr>
              <w:t>6.1</w:t>
            </w:r>
          </w:p>
        </w:tc>
        <w:tc>
          <w:tcPr>
            <w:tcW w:type="dxa" w:w="6480"/>
            <w:tcMar>
              <w:top w:w="60" w:type="dxa"/>
              <w:bottom w:w="60" w:type="dxa"/>
              <w:left w:w="100" w:type="dxa"/>
              <w:right w:w="100" w:type="dxa"/>
            </w:tcMar>
          </w:tcPr>
          <w:p>
            <w:pPr>
              <w:spacing w:line="276" w:lineRule="auto"/>
              <w:jc w:val="left"/>
            </w:pPr>
            <w:r>
              <w:rPr>
                <w:sz w:val="19"/>
              </w:rPr>
              <w:t xml:space="preserve">    Conclusion</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sz w:val="19"/>
              </w:rPr>
              <w:t>6.2</w:t>
            </w:r>
          </w:p>
        </w:tc>
        <w:tc>
          <w:tcPr>
            <w:tcW w:type="dxa" w:w="6480"/>
            <w:tcMar>
              <w:top w:w="60" w:type="dxa"/>
              <w:bottom w:w="60" w:type="dxa"/>
              <w:left w:w="100" w:type="dxa"/>
              <w:right w:w="100" w:type="dxa"/>
            </w:tcMar>
          </w:tcPr>
          <w:p>
            <w:pPr>
              <w:spacing w:line="276" w:lineRule="auto"/>
              <w:jc w:val="left"/>
            </w:pPr>
            <w:r>
              <w:rPr>
                <w:sz w:val="19"/>
              </w:rPr>
              <w:t xml:space="preserve">    Future Enhancements</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A: SYSTEM REQUIREMENTS</w:t>
            </w:r>
          </w:p>
        </w:tc>
        <w:tc>
          <w:tcPr>
            <w:tcW w:type="dxa" w:w="1152"/>
            <w:tcMar>
              <w:top w:w="60" w:type="dxa"/>
              <w:bottom w:w="60" w:type="dxa"/>
              <w:left w:w="100" w:type="dxa"/>
              <w:right w:w="100" w:type="dxa"/>
            </w:tcMar>
          </w:tcPr>
          <w:p>
            <w:pPr>
              <w:spacing w:line="276" w:lineRule="auto"/>
              <w:jc w:val="center"/>
            </w:pPr>
            <w:r>
              <w:rPr>
                <w:b/>
                <w:sz w:val="19"/>
              </w:rPr>
              <w:t>50</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B: SOURCE CODE</w:t>
            </w:r>
          </w:p>
        </w:tc>
        <w:tc>
          <w:tcPr>
            <w:tcW w:type="dxa" w:w="1152"/>
            <w:tcMar>
              <w:top w:w="60" w:type="dxa"/>
              <w:bottom w:w="60" w:type="dxa"/>
              <w:left w:w="100" w:type="dxa"/>
              <w:right w:w="100" w:type="dxa"/>
            </w:tcMar>
          </w:tcPr>
          <w:p>
            <w:pPr>
              <w:spacing w:line="276" w:lineRule="auto"/>
              <w:jc w:val="center"/>
            </w:pPr>
            <w:r>
              <w:rPr>
                <w:b/>
                <w:sz w:val="19"/>
              </w:rPr>
              <w:t>51</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REFERENCES</w:t>
            </w:r>
          </w:p>
        </w:tc>
        <w:tc>
          <w:tcPr>
            <w:tcW w:type="dxa" w:w="1152"/>
            <w:tcMar>
              <w:top w:w="60" w:type="dxa"/>
              <w:bottom w:w="60" w:type="dxa"/>
              <w:left w:w="100" w:type="dxa"/>
              <w:right w:w="100" w:type="dxa"/>
            </w:tcMar>
          </w:tcPr>
          <w:p>
            <w:pPr>
              <w:spacing w:line="276" w:lineRule="auto"/>
              <w:jc w:val="center"/>
            </w:pPr>
            <w:r>
              <w:rPr>
                <w:b/>
                <w:sz w:val="19"/>
              </w:rPr>
              <w:t>55</w:t>
            </w:r>
          </w:p>
        </w:tc>
      </w:tr>
    </w:tbl>
    <w:p>
      <w:r>
        <w:br w:type="page"/>
      </w:r>
    </w:p>
    <w:p>
      <w:pPr>
        <w:spacing w:after="360"/>
        <w:jc w:val="center"/>
      </w:pPr>
      <w:r>
        <w:rPr>
          <w:b/>
          <w:sz w:val="28"/>
        </w:rPr>
        <w:t>LIST OF TABLES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TABLE NO.</w:t>
            </w:r>
          </w:p>
        </w:tc>
        <w:tc>
          <w:tcPr>
            <w:tcW w:type="dxa" w:w="3000"/>
            <w:tcMar>
              <w:top w:w="100" w:type="dxa"/>
              <w:bottom w:w="100" w:type="dxa"/>
              <w:left w:w="100" w:type="dxa"/>
              <w:right w:w="100" w:type="dxa"/>
            </w:tcMar>
            <w:shd w:fill="E0E7FF"/>
          </w:tcPr>
          <w:p>
            <w:pPr>
              <w:jc w:val="center"/>
            </w:pPr>
            <w:r>
              <w:rPr>
                <w:b/>
                <w:sz w:val="21"/>
              </w:rPr>
              <w:t>TABLE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Evaluation Metric Comparison: Existing vs. Proposed LexGuard</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User Accounts Table Details (users)</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Legal Case Master Table Details (cases)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Document Versioning Details (document_versions)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Hash-Chained Audit Ledger Details (audit_logs)</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Case Approval Queue Details (approval_queue)</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Advocate Bookmarks &amp; Binders Details (bookmarks)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Draft Assistant Sessions Details (draft_sessions)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Positive Test Case for User Authentication (TC_AUTH_01)</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Negative Test Case for Invalid Login Handling (TC_AUTH_02)</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5.3</w:t>
            </w:r>
          </w:p>
        </w:tc>
        <w:tc>
          <w:tcPr>
            <w:tcW w:type="dxa" w:w="6480"/>
            <w:tcMar>
              <w:top w:w="60" w:type="dxa"/>
              <w:bottom w:w="60" w:type="dxa"/>
              <w:left w:w="100" w:type="dxa"/>
              <w:right w:w="100" w:type="dxa"/>
            </w:tcMar>
          </w:tcPr>
          <w:p>
            <w:pPr>
              <w:spacing w:line="276" w:lineRule="auto"/>
              <w:jc w:val="left"/>
            </w:pPr>
            <w:r>
              <w:rPr>
                <w:sz w:val="19"/>
              </w:rPr>
              <w:t>Positive Test Case for Document Ingestion &amp; Hashing (TC_INGEST_01)</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5.4</w:t>
            </w:r>
          </w:p>
        </w:tc>
        <w:tc>
          <w:tcPr>
            <w:tcW w:type="dxa" w:w="6480"/>
            <w:tcMar>
              <w:top w:w="60" w:type="dxa"/>
              <w:bottom w:w="60" w:type="dxa"/>
              <w:left w:w="100" w:type="dxa"/>
              <w:right w:w="100" w:type="dxa"/>
            </w:tcMar>
          </w:tcPr>
          <w:p>
            <w:pPr>
              <w:spacing w:line="276" w:lineRule="auto"/>
              <w:jc w:val="left"/>
            </w:pPr>
            <w:r>
              <w:rPr>
                <w:sz w:val="19"/>
              </w:rPr>
              <w:t>Negative Test Case for Duplicate Document Ingestion (TC_INGEST_02)</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5.5</w:t>
            </w:r>
          </w:p>
        </w:tc>
        <w:tc>
          <w:tcPr>
            <w:tcW w:type="dxa" w:w="6480"/>
            <w:tcMar>
              <w:top w:w="60" w:type="dxa"/>
              <w:bottom w:w="60" w:type="dxa"/>
              <w:left w:w="100" w:type="dxa"/>
              <w:right w:w="100" w:type="dxa"/>
            </w:tcMar>
          </w:tcPr>
          <w:p>
            <w:pPr>
              <w:spacing w:line="276" w:lineRule="auto"/>
              <w:jc w:val="left"/>
            </w:pPr>
            <w:r>
              <w:rPr>
                <w:sz w:val="19"/>
              </w:rPr>
              <w:t>Positive Test Case for Hybrid Precedent Search &amp; RRF (TC_SEARCH_01)</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5.6</w:t>
            </w:r>
          </w:p>
        </w:tc>
        <w:tc>
          <w:tcPr>
            <w:tcW w:type="dxa" w:w="6480"/>
            <w:tcMar>
              <w:top w:w="60" w:type="dxa"/>
              <w:bottom w:w="60" w:type="dxa"/>
              <w:left w:w="100" w:type="dxa"/>
              <w:right w:w="100" w:type="dxa"/>
            </w:tcMar>
          </w:tcPr>
          <w:p>
            <w:pPr>
              <w:spacing w:line="276" w:lineRule="auto"/>
              <w:jc w:val="left"/>
            </w:pPr>
            <w:r>
              <w:rPr>
                <w:sz w:val="19"/>
              </w:rPr>
              <w:t>Negative Test Case for Malformed Legal Query Handling (TC_SEARCH_02)</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5.7</w:t>
            </w:r>
          </w:p>
        </w:tc>
        <w:tc>
          <w:tcPr>
            <w:tcW w:type="dxa" w:w="6480"/>
            <w:tcMar>
              <w:top w:w="60" w:type="dxa"/>
              <w:bottom w:w="60" w:type="dxa"/>
              <w:left w:w="100" w:type="dxa"/>
              <w:right w:w="100" w:type="dxa"/>
            </w:tcMar>
          </w:tcPr>
          <w:p>
            <w:pPr>
              <w:spacing w:line="276" w:lineRule="auto"/>
              <w:jc w:val="left"/>
            </w:pPr>
            <w:r>
              <w:rPr>
                <w:sz w:val="19"/>
              </w:rPr>
              <w:t>Positive Test Case for Document Integrity Verification (TC_VERIFY_01)</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5.8</w:t>
            </w:r>
          </w:p>
        </w:tc>
        <w:tc>
          <w:tcPr>
            <w:tcW w:type="dxa" w:w="6480"/>
            <w:tcMar>
              <w:top w:w="60" w:type="dxa"/>
              <w:bottom w:w="60" w:type="dxa"/>
              <w:left w:w="100" w:type="dxa"/>
              <w:right w:w="100" w:type="dxa"/>
            </w:tcMar>
          </w:tcPr>
          <w:p>
            <w:pPr>
              <w:spacing w:line="276" w:lineRule="auto"/>
              <w:jc w:val="left"/>
            </w:pPr>
            <w:r>
              <w:rPr>
                <w:sz w:val="19"/>
              </w:rPr>
              <w:t>Negative Test Case for Tampered File Detection Alert (TC_VERIFY_02)</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5.9</w:t>
            </w:r>
          </w:p>
        </w:tc>
        <w:tc>
          <w:tcPr>
            <w:tcW w:type="dxa" w:w="6480"/>
            <w:tcMar>
              <w:top w:w="60" w:type="dxa"/>
              <w:bottom w:w="60" w:type="dxa"/>
              <w:left w:w="100" w:type="dxa"/>
              <w:right w:w="100" w:type="dxa"/>
            </w:tcMar>
          </w:tcPr>
          <w:p>
            <w:pPr>
              <w:spacing w:line="276" w:lineRule="auto"/>
              <w:jc w:val="left"/>
            </w:pPr>
            <w:r>
              <w:rPr>
                <w:sz w:val="19"/>
              </w:rPr>
              <w:t>Positive Test Case for AI Draft Petition Gap Analysis (TC_DRAFT_01)</w:t>
            </w:r>
          </w:p>
        </w:tc>
        <w:tc>
          <w:tcPr>
            <w:tcW w:type="dxa" w:w="1152"/>
            <w:tcMar>
              <w:top w:w="60" w:type="dxa"/>
              <w:bottom w:w="60" w:type="dxa"/>
              <w:left w:w="100" w:type="dxa"/>
              <w:right w:w="100" w:type="dxa"/>
            </w:tcMar>
          </w:tcPr>
          <w:p>
            <w:pPr>
              <w:spacing w:line="276" w:lineRule="auto"/>
              <w:jc w:val="center"/>
            </w:pPr>
            <w:r>
              <w:rPr>
                <w:sz w:val="19"/>
              </w:rPr>
              <w:t>44</w:t>
            </w:r>
          </w:p>
        </w:tc>
      </w:tr>
      <w:tr>
        <w:tc>
          <w:tcPr>
            <w:tcW w:type="dxa" w:w="1728"/>
            <w:tcMar>
              <w:top w:w="60" w:type="dxa"/>
              <w:bottom w:w="60" w:type="dxa"/>
              <w:left w:w="100" w:type="dxa"/>
              <w:right w:w="100" w:type="dxa"/>
            </w:tcMar>
          </w:tcPr>
          <w:p>
            <w:pPr>
              <w:spacing w:line="276" w:lineRule="auto"/>
              <w:jc w:val="center"/>
            </w:pPr>
            <w:r>
              <w:rPr>
                <w:sz w:val="19"/>
              </w:rPr>
              <w:t>5.10</w:t>
            </w:r>
          </w:p>
        </w:tc>
        <w:tc>
          <w:tcPr>
            <w:tcW w:type="dxa" w:w="6480"/>
            <w:tcMar>
              <w:top w:w="60" w:type="dxa"/>
              <w:bottom w:w="60" w:type="dxa"/>
              <w:left w:w="100" w:type="dxa"/>
              <w:right w:w="100" w:type="dxa"/>
            </w:tcMar>
          </w:tcPr>
          <w:p>
            <w:pPr>
              <w:spacing w:line="276" w:lineRule="auto"/>
              <w:jc w:val="left"/>
            </w:pPr>
            <w:r>
              <w:rPr>
                <w:sz w:val="19"/>
              </w:rPr>
              <w:t>Positive Test Case for Multi-Precedent Comparison Matrix (TC_COMPARE_01)</w:t>
            </w:r>
          </w:p>
        </w:tc>
        <w:tc>
          <w:tcPr>
            <w:tcW w:type="dxa" w:w="1152"/>
            <w:tcMar>
              <w:top w:w="60" w:type="dxa"/>
              <w:bottom w:w="60" w:type="dxa"/>
              <w:left w:w="100" w:type="dxa"/>
              <w:right w:w="100" w:type="dxa"/>
            </w:tcMar>
          </w:tcPr>
          <w:p>
            <w:pPr>
              <w:spacing w:line="276" w:lineRule="auto"/>
              <w:jc w:val="center"/>
            </w:pPr>
            <w:r>
              <w:rPr>
                <w:sz w:val="19"/>
              </w:rPr>
              <w:t>44</w:t>
            </w:r>
          </w:p>
        </w:tc>
      </w:tr>
    </w:tbl>
    <w:p>
      <w:r>
        <w:br w:type="page"/>
      </w:r>
    </w:p>
    <w:p>
      <w:pPr>
        <w:spacing w:after="360"/>
        <w:jc w:val="center"/>
      </w:pPr>
      <w:r>
        <w:rPr>
          <w:b/>
          <w:sz w:val="28"/>
        </w:rPr>
        <w:t>LIST OF FIGURES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FIGURE NO.</w:t>
            </w:r>
          </w:p>
        </w:tc>
        <w:tc>
          <w:tcPr>
            <w:tcW w:type="dxa" w:w="3000"/>
            <w:tcMar>
              <w:top w:w="100" w:type="dxa"/>
              <w:bottom w:w="100" w:type="dxa"/>
              <w:left w:w="100" w:type="dxa"/>
              <w:right w:w="100" w:type="dxa"/>
            </w:tcMar>
            <w:shd w:fill="E0E7FF"/>
          </w:tcPr>
          <w:p>
            <w:pPr>
              <w:jc w:val="center"/>
            </w:pPr>
            <w:r>
              <w:rPr>
                <w:b/>
                <w:sz w:val="21"/>
              </w:rPr>
              <w:t>FIGURE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 Case Diagram for Lexguard Legal Case Research System</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System Class Diagram &amp; Data Modeling Architecture</w:t>
            </w:r>
          </w:p>
        </w:tc>
        <w:tc>
          <w:tcPr>
            <w:tcW w:type="dxa" w:w="1152"/>
            <w:tcMar>
              <w:top w:w="60" w:type="dxa"/>
              <w:bottom w:w="60" w:type="dxa"/>
              <w:left w:w="100" w:type="dxa"/>
              <w:right w:w="100" w:type="dxa"/>
            </w:tcMar>
          </w:tcPr>
          <w:p>
            <w:pPr>
              <w:spacing w:line="276" w:lineRule="auto"/>
              <w:jc w:val="center"/>
            </w:pPr>
            <w:r>
              <w:rPr>
                <w:sz w:val="19"/>
              </w:rPr>
              <w:t>13</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Activity Diagram for Document Ingestion and Integrity Verification</w:t>
            </w:r>
          </w:p>
        </w:tc>
        <w:tc>
          <w:tcPr>
            <w:tcW w:type="dxa" w:w="1152"/>
            <w:tcMar>
              <w:top w:w="60" w:type="dxa"/>
              <w:bottom w:w="60" w:type="dxa"/>
              <w:left w:w="100" w:type="dxa"/>
              <w:right w:w="100" w:type="dxa"/>
            </w:tcMar>
          </w:tcPr>
          <w:p>
            <w:pPr>
              <w:spacing w:line="276" w:lineRule="auto"/>
              <w:jc w:val="center"/>
            </w:pPr>
            <w:r>
              <w:rPr>
                <w:sz w:val="19"/>
              </w:rPr>
              <w:t>14</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State Diagram for Case Document Status Lifecycle</w:t>
            </w:r>
          </w:p>
        </w:tc>
        <w:tc>
          <w:tcPr>
            <w:tcW w:type="dxa" w:w="1152"/>
            <w:tcMar>
              <w:top w:w="60" w:type="dxa"/>
              <w:bottom w:w="60" w:type="dxa"/>
              <w:left w:w="100" w:type="dxa"/>
              <w:right w:w="100" w:type="dxa"/>
            </w:tcMar>
          </w:tcPr>
          <w:p>
            <w:pPr>
              <w:spacing w:line="276" w:lineRule="auto"/>
              <w:jc w:val="center"/>
            </w:pPr>
            <w:r>
              <w:rPr>
                <w:sz w:val="19"/>
              </w:rPr>
              <w:t>15</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Sequence Diagram for Precedent Search and Verification Flow</w:t>
            </w:r>
          </w:p>
        </w:tc>
        <w:tc>
          <w:tcPr>
            <w:tcW w:type="dxa" w:w="1152"/>
            <w:tcMar>
              <w:top w:w="60" w:type="dxa"/>
              <w:bottom w:w="60" w:type="dxa"/>
              <w:left w:w="100" w:type="dxa"/>
              <w:right w:w="100" w:type="dxa"/>
            </w:tcMar>
          </w:tcPr>
          <w:p>
            <w:pPr>
              <w:spacing w:line="276" w:lineRule="auto"/>
              <w:jc w:val="center"/>
            </w:pPr>
            <w:r>
              <w:rPr>
                <w:sz w:val="19"/>
              </w:rPr>
              <w:t>16</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Entity Relationship (ER) Diagram for Lexguard Database</w:t>
            </w:r>
          </w:p>
        </w:tc>
        <w:tc>
          <w:tcPr>
            <w:tcW w:type="dxa" w:w="1152"/>
            <w:tcMar>
              <w:top w:w="60" w:type="dxa"/>
              <w:bottom w:w="60" w:type="dxa"/>
              <w:left w:w="100" w:type="dxa"/>
              <w:right w:w="100" w:type="dxa"/>
            </w:tcMar>
          </w:tcPr>
          <w:p>
            <w:pPr>
              <w:spacing w:line="276" w:lineRule="auto"/>
              <w:jc w:val="center"/>
            </w:pPr>
            <w:r>
              <w:rPr>
                <w:sz w:val="19"/>
              </w:rPr>
              <w:t>17</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Data Flow Diagram (Level 0 and Level 1) for Lexguard</w:t>
            </w:r>
          </w:p>
        </w:tc>
        <w:tc>
          <w:tcPr>
            <w:tcW w:type="dxa" w:w="1152"/>
            <w:tcMar>
              <w:top w:w="60" w:type="dxa"/>
              <w:bottom w:w="60" w:type="dxa"/>
              <w:left w:w="100" w:type="dxa"/>
              <w:right w:w="100" w:type="dxa"/>
            </w:tcMar>
          </w:tcPr>
          <w:p>
            <w:pPr>
              <w:spacing w:line="276" w:lineRule="auto"/>
              <w:jc w:val="center"/>
            </w:pPr>
            <w:r>
              <w:rPr>
                <w:sz w:val="19"/>
              </w:rPr>
              <w:t>18</w:t>
            </w:r>
          </w:p>
        </w:tc>
      </w:tr>
      <w:tr>
        <w:tc>
          <w:tcPr>
            <w:tcW w:type="dxa" w:w="1728"/>
            <w:tcMar>
              <w:top w:w="60" w:type="dxa"/>
              <w:bottom w:w="60" w:type="dxa"/>
              <w:left w:w="100" w:type="dxa"/>
              <w:right w:w="100" w:type="dxa"/>
            </w:tcMar>
          </w:tcPr>
          <w:p>
            <w:pPr>
              <w:spacing w:line="276" w:lineRule="auto"/>
              <w:jc w:val="center"/>
            </w:pPr>
            <w:r>
              <w:rPr>
                <w:sz w:val="19"/>
              </w:rPr>
              <w:t>3.8</w:t>
            </w:r>
          </w:p>
        </w:tc>
        <w:tc>
          <w:tcPr>
            <w:tcW w:type="dxa" w:w="6480"/>
            <w:tcMar>
              <w:top w:w="60" w:type="dxa"/>
              <w:bottom w:w="60" w:type="dxa"/>
              <w:left w:w="100" w:type="dxa"/>
              <w:right w:w="100" w:type="dxa"/>
            </w:tcMar>
          </w:tcPr>
          <w:p>
            <w:pPr>
              <w:spacing w:line="276" w:lineRule="auto"/>
              <w:jc w:val="left"/>
            </w:pPr>
            <w:r>
              <w:rPr>
                <w:sz w:val="19"/>
              </w:rPr>
              <w:t>System Architecture &amp; Component Diagram of Decoupled AI Services</w:t>
            </w:r>
          </w:p>
        </w:tc>
        <w:tc>
          <w:tcPr>
            <w:tcW w:type="dxa" w:w="1152"/>
            <w:tcMar>
              <w:top w:w="60" w:type="dxa"/>
              <w:bottom w:w="60" w:type="dxa"/>
              <w:left w:w="100" w:type="dxa"/>
              <w:right w:w="100" w:type="dxa"/>
            </w:tcMar>
          </w:tcPr>
          <w:p>
            <w:pPr>
              <w:spacing w:line="276" w:lineRule="auto"/>
              <w:jc w:val="center"/>
            </w:pPr>
            <w:r>
              <w:rPr>
                <w:sz w:val="19"/>
              </w:rPr>
              <w:t>19</w:t>
            </w:r>
          </w:p>
        </w:tc>
      </w:tr>
      <w:tr>
        <w:tc>
          <w:tcPr>
            <w:tcW w:type="dxa" w:w="1728"/>
            <w:tcMar>
              <w:top w:w="60" w:type="dxa"/>
              <w:bottom w:w="60" w:type="dxa"/>
              <w:left w:w="100" w:type="dxa"/>
              <w:right w:w="100" w:type="dxa"/>
            </w:tcMar>
          </w:tcPr>
          <w:p>
            <w:pPr>
              <w:spacing w:line="276" w:lineRule="auto"/>
              <w:jc w:val="center"/>
            </w:pPr>
            <w:r>
              <w:rPr>
                <w:sz w:val="19"/>
              </w:rPr>
              <w:t>3.9</w:t>
            </w:r>
          </w:p>
        </w:tc>
        <w:tc>
          <w:tcPr>
            <w:tcW w:type="dxa" w:w="6480"/>
            <w:tcMar>
              <w:top w:w="60" w:type="dxa"/>
              <w:bottom w:w="60" w:type="dxa"/>
              <w:left w:w="100" w:type="dxa"/>
              <w:right w:w="100" w:type="dxa"/>
            </w:tcMar>
          </w:tcPr>
          <w:p>
            <w:pPr>
              <w:spacing w:line="276" w:lineRule="auto"/>
              <w:jc w:val="left"/>
            </w:pPr>
            <w:r>
              <w:rPr>
                <w:sz w:val="19"/>
              </w:rPr>
              <w:t>Physical Deployment Diagram for Court Intranet Infrastructure</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3.10</w:t>
            </w:r>
          </w:p>
        </w:tc>
        <w:tc>
          <w:tcPr>
            <w:tcW w:type="dxa" w:w="6480"/>
            <w:tcMar>
              <w:top w:w="60" w:type="dxa"/>
              <w:bottom w:w="60" w:type="dxa"/>
              <w:left w:w="100" w:type="dxa"/>
              <w:right w:w="100" w:type="dxa"/>
            </w:tcMar>
          </w:tcPr>
          <w:p>
            <w:pPr>
              <w:spacing w:line="276" w:lineRule="auto"/>
              <w:jc w:val="left"/>
            </w:pPr>
            <w:r>
              <w:rPr>
                <w:sz w:val="19"/>
              </w:rPr>
              <w:t>User Login and Secure Role-Based Authentication Interface</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3.11</w:t>
            </w:r>
          </w:p>
        </w:tc>
        <w:tc>
          <w:tcPr>
            <w:tcW w:type="dxa" w:w="6480"/>
            <w:tcMar>
              <w:top w:w="60" w:type="dxa"/>
              <w:bottom w:w="60" w:type="dxa"/>
              <w:left w:w="100" w:type="dxa"/>
              <w:right w:w="100" w:type="dxa"/>
            </w:tcMar>
          </w:tcPr>
          <w:p>
            <w:pPr>
              <w:spacing w:line="276" w:lineRule="auto"/>
              <w:jc w:val="left"/>
            </w:pPr>
            <w:r>
              <w:rPr>
                <w:sz w:val="19"/>
              </w:rPr>
              <w:t>Advocate User Registration &amp; Bar Council Verification Interface</w:t>
            </w:r>
          </w:p>
        </w:tc>
        <w:tc>
          <w:tcPr>
            <w:tcW w:type="dxa" w:w="1152"/>
            <w:tcMar>
              <w:top w:w="60" w:type="dxa"/>
              <w:bottom w:w="60" w:type="dxa"/>
              <w:left w:w="100" w:type="dxa"/>
              <w:right w:w="100" w:type="dxa"/>
            </w:tcMar>
          </w:tcPr>
          <w:p>
            <w:pPr>
              <w:spacing w:line="276" w:lineRule="auto"/>
              <w:jc w:val="center"/>
            </w:pPr>
            <w:r>
              <w:rPr>
                <w:sz w:val="19"/>
              </w:rPr>
              <w:t>26</w:t>
            </w:r>
          </w:p>
        </w:tc>
      </w:tr>
      <w:tr>
        <w:tc>
          <w:tcPr>
            <w:tcW w:type="dxa" w:w="1728"/>
            <w:tcMar>
              <w:top w:w="60" w:type="dxa"/>
              <w:bottom w:w="60" w:type="dxa"/>
              <w:left w:w="100" w:type="dxa"/>
              <w:right w:w="100" w:type="dxa"/>
            </w:tcMar>
          </w:tcPr>
          <w:p>
            <w:pPr>
              <w:spacing w:line="276" w:lineRule="auto"/>
              <w:jc w:val="center"/>
            </w:pPr>
            <w:r>
              <w:rPr>
                <w:sz w:val="19"/>
              </w:rPr>
              <w:t>3.12</w:t>
            </w:r>
          </w:p>
        </w:tc>
        <w:tc>
          <w:tcPr>
            <w:tcW w:type="dxa" w:w="6480"/>
            <w:tcMar>
              <w:top w:w="60" w:type="dxa"/>
              <w:bottom w:w="60" w:type="dxa"/>
              <w:left w:w="100" w:type="dxa"/>
              <w:right w:w="100" w:type="dxa"/>
            </w:tcMar>
          </w:tcPr>
          <w:p>
            <w:pPr>
              <w:spacing w:line="276" w:lineRule="auto"/>
              <w:jc w:val="left"/>
            </w:pPr>
            <w:r>
              <w:rPr>
                <w:sz w:val="19"/>
              </w:rPr>
              <w:t>Senior Court Staff Approval Queue and Metadata Verification Panel</w:t>
            </w:r>
          </w:p>
        </w:tc>
        <w:tc>
          <w:tcPr>
            <w:tcW w:type="dxa" w:w="1152"/>
            <w:tcMar>
              <w:top w:w="60" w:type="dxa"/>
              <w:bottom w:w="60" w:type="dxa"/>
              <w:left w:w="100" w:type="dxa"/>
              <w:right w:w="100" w:type="dxa"/>
            </w:tcMar>
          </w:tcPr>
          <w:p>
            <w:pPr>
              <w:spacing w:line="276" w:lineRule="auto"/>
              <w:jc w:val="center"/>
            </w:pPr>
            <w:r>
              <w:rPr>
                <w:sz w:val="19"/>
              </w:rPr>
              <w:t>27</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High Court Authorized Portal Landing Interface &amp; 10-Service Grid</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Madras High Court Daily Cause List Live Hearing Status Tracker</w:t>
            </w:r>
          </w:p>
        </w:tc>
        <w:tc>
          <w:tcPr>
            <w:tcW w:type="dxa" w:w="1152"/>
            <w:tcMar>
              <w:top w:w="60" w:type="dxa"/>
              <w:bottom w:w="60" w:type="dxa"/>
              <w:left w:w="100" w:type="dxa"/>
              <w:right w:w="100" w:type="dxa"/>
            </w:tcMar>
          </w:tcPr>
          <w:p>
            <w:pPr>
              <w:spacing w:line="276" w:lineRule="auto"/>
              <w:jc w:val="center"/>
            </w:pPr>
            <w:r>
              <w:rPr>
                <w:sz w:val="19"/>
              </w:rPr>
              <w:t>31</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Case Ingestion Desk with Automated SHA-256 Hashing Pipeline</w:t>
            </w:r>
          </w:p>
        </w:tc>
        <w:tc>
          <w:tcPr>
            <w:tcW w:type="dxa" w:w="1152"/>
            <w:tcMar>
              <w:top w:w="60" w:type="dxa"/>
              <w:bottom w:w="60" w:type="dxa"/>
              <w:left w:w="100" w:type="dxa"/>
              <w:right w:w="100" w:type="dxa"/>
            </w:tcMar>
          </w:tcPr>
          <w:p>
            <w:pPr>
              <w:spacing w:line="276" w:lineRule="auto"/>
              <w:jc w:val="center"/>
            </w:pPr>
            <w:r>
              <w:rPr>
                <w:sz w:val="19"/>
              </w:rPr>
              <w:t>33</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Statutory Acts Directory &amp; BNS 2023 Concordance Explorer</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Precedent Hybrid Search and Reciprocal Rank Fusion Results View</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Case Viewer with Canvas PDF Rendering and Live SHA-256 Badge</w:t>
            </w:r>
          </w:p>
        </w:tc>
        <w:tc>
          <w:tcPr>
            <w:tcW w:type="dxa" w:w="1152"/>
            <w:tcMar>
              <w:top w:w="60" w:type="dxa"/>
              <w:bottom w:w="60" w:type="dxa"/>
              <w:left w:w="100" w:type="dxa"/>
              <w:right w:w="100" w:type="dxa"/>
            </w:tcMar>
          </w:tcPr>
          <w:p>
            <w:pPr>
              <w:spacing w:line="276" w:lineRule="auto"/>
              <w:jc w:val="center"/>
            </w:pPr>
            <w:r>
              <w:rPr>
                <w:sz w:val="19"/>
              </w:rPr>
              <w:t>37</w:t>
            </w:r>
          </w:p>
        </w:tc>
      </w:tr>
      <w:tr>
        <w:tc>
          <w:tcPr>
            <w:tcW w:type="dxa" w:w="1728"/>
            <w:tcMar>
              <w:top w:w="60" w:type="dxa"/>
              <w:bottom w:w="60" w:type="dxa"/>
              <w:left w:w="100" w:type="dxa"/>
              <w:right w:w="100" w:type="dxa"/>
            </w:tcMar>
          </w:tcPr>
          <w:p>
            <w:pPr>
              <w:spacing w:line="276" w:lineRule="auto"/>
              <w:jc w:val="center"/>
            </w:pPr>
            <w:r>
              <w:rPr>
                <w:sz w:val="19"/>
              </w:rPr>
              <w:t>4.7</w:t>
            </w:r>
          </w:p>
        </w:tc>
        <w:tc>
          <w:tcPr>
            <w:tcW w:type="dxa" w:w="6480"/>
            <w:tcMar>
              <w:top w:w="60" w:type="dxa"/>
              <w:bottom w:w="60" w:type="dxa"/>
              <w:left w:w="100" w:type="dxa"/>
              <w:right w:w="100" w:type="dxa"/>
            </w:tcMar>
          </w:tcPr>
          <w:p>
            <w:pPr>
              <w:spacing w:line="276" w:lineRule="auto"/>
              <w:jc w:val="left"/>
            </w:pPr>
            <w:r>
              <w:rPr>
                <w:sz w:val="19"/>
              </w:rPr>
              <w:t>On-Demand Cryptographic Tamper Verification Engine</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sz w:val="19"/>
              </w:rPr>
              <w:t>4.8</w:t>
            </w:r>
          </w:p>
        </w:tc>
        <w:tc>
          <w:tcPr>
            <w:tcW w:type="dxa" w:w="6480"/>
            <w:tcMar>
              <w:top w:w="60" w:type="dxa"/>
              <w:bottom w:w="60" w:type="dxa"/>
              <w:left w:w="100" w:type="dxa"/>
              <w:right w:w="100" w:type="dxa"/>
            </w:tcMar>
          </w:tcPr>
          <w:p>
            <w:pPr>
              <w:spacing w:line="276" w:lineRule="auto"/>
              <w:jc w:val="left"/>
            </w:pPr>
            <w:r>
              <w:rPr>
                <w:sz w:val="19"/>
              </w:rPr>
              <w:t>AI Judgment Draft Studio with Real-Time Argument Gap Analysis</w:t>
            </w:r>
          </w:p>
        </w:tc>
        <w:tc>
          <w:tcPr>
            <w:tcW w:type="dxa" w:w="1152"/>
            <w:tcMar>
              <w:top w:w="60" w:type="dxa"/>
              <w:bottom w:w="60" w:type="dxa"/>
              <w:left w:w="100" w:type="dxa"/>
              <w:right w:w="100" w:type="dxa"/>
            </w:tcMar>
          </w:tcPr>
          <w:p>
            <w:pPr>
              <w:spacing w:line="276" w:lineRule="auto"/>
              <w:jc w:val="center"/>
            </w:pPr>
            <w:r>
              <w:rPr>
                <w:sz w:val="19"/>
              </w:rPr>
              <w:t>39</w:t>
            </w:r>
          </w:p>
        </w:tc>
      </w:tr>
      <w:tr>
        <w:tc>
          <w:tcPr>
            <w:tcW w:type="dxa" w:w="1728"/>
            <w:tcMar>
              <w:top w:w="60" w:type="dxa"/>
              <w:bottom w:w="60" w:type="dxa"/>
              <w:left w:w="100" w:type="dxa"/>
              <w:right w:w="100" w:type="dxa"/>
            </w:tcMar>
          </w:tcPr>
          <w:p>
            <w:pPr>
              <w:spacing w:line="276" w:lineRule="auto"/>
              <w:jc w:val="center"/>
            </w:pPr>
            <w:r>
              <w:rPr>
                <w:sz w:val="19"/>
              </w:rPr>
              <w:t>4.9</w:t>
            </w:r>
          </w:p>
        </w:tc>
        <w:tc>
          <w:tcPr>
            <w:tcW w:type="dxa" w:w="6480"/>
            <w:tcMar>
              <w:top w:w="60" w:type="dxa"/>
              <w:bottom w:w="60" w:type="dxa"/>
              <w:left w:w="100" w:type="dxa"/>
              <w:right w:w="100" w:type="dxa"/>
            </w:tcMar>
          </w:tcPr>
          <w:p>
            <w:pPr>
              <w:spacing w:line="276" w:lineRule="auto"/>
              <w:jc w:val="left"/>
            </w:pPr>
            <w:r>
              <w:rPr>
                <w:sz w:val="19"/>
              </w:rPr>
              <w:t>Interactive Multi-Precedent Comparison Matrix &amp; Concordance Tray</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Cryptographic Audit Ledger Inspector with Hash-Chained Verification</w:t>
            </w:r>
          </w:p>
        </w:tc>
        <w:tc>
          <w:tcPr>
            <w:tcW w:type="dxa" w:w="1152"/>
            <w:tcMar>
              <w:top w:w="60" w:type="dxa"/>
              <w:bottom w:w="60" w:type="dxa"/>
              <w:left w:w="100" w:type="dxa"/>
              <w:right w:w="100" w:type="dxa"/>
            </w:tcMar>
          </w:tcPr>
          <w:p>
            <w:pPr>
              <w:spacing w:line="276" w:lineRule="auto"/>
              <w:jc w:val="center"/>
            </w:pPr>
            <w:r>
              <w:rPr>
                <w:sz w:val="19"/>
              </w:rPr>
              <w:t>47</w:t>
            </w:r>
          </w:p>
        </w:tc>
      </w:tr>
    </w:tbl>
    <w:p>
      <w:r>
        <w:br w:type="page"/>
      </w:r>
    </w:p>
    <w:p>
      <w:pPr>
        <w:spacing w:after="360"/>
        <w:jc w:val="center"/>
      </w:pPr>
      <w:r>
        <w:rPr>
          <w:b/>
          <w:sz w:val="28"/>
        </w:rPr>
        <w:t>LIST OF ABBREVIATIONS</w:t>
      </w:r>
    </w:p>
    <w:tbl>
      <w:tblPr>
        <w:tblW w:type="auto" w:w="0"/>
        <w:jc w:val="center"/>
        <w:tblLook w:firstColumn="1" w:firstRow="1" w:lastColumn="0" w:lastRow="0" w:noHBand="0" w:noVBand="1" w:val="04A0"/>
      </w:tblPr>
      <w:tblGrid>
        <w:gridCol w:w="2880"/>
        <w:gridCol w:w="6480"/>
      </w:tblGrid>
      <w:tr>
        <w:tc>
          <w:tcPr>
            <w:tcW w:type="dxa" w:w="4500"/>
            <w:tcMar>
              <w:top w:w="100" w:type="dxa"/>
              <w:bottom w:w="100" w:type="dxa"/>
              <w:left w:w="100" w:type="dxa"/>
              <w:right w:w="100" w:type="dxa"/>
            </w:tcMar>
            <w:shd w:fill="E0E7FF"/>
          </w:tcPr>
          <w:p>
            <w:pPr>
              <w:jc w:val="center"/>
            </w:pPr>
            <w:r>
              <w:rPr>
                <w:b/>
                <w:sz w:val="21"/>
              </w:rPr>
              <w:t>ABBREVIATION</w:t>
            </w:r>
          </w:p>
        </w:tc>
        <w:tc>
          <w:tcPr>
            <w:tcW w:type="dxa" w:w="4500"/>
            <w:tcMar>
              <w:top w:w="100" w:type="dxa"/>
              <w:bottom w:w="100" w:type="dxa"/>
              <w:left w:w="100" w:type="dxa"/>
              <w:right w:w="100" w:type="dxa"/>
            </w:tcMar>
            <w:shd w:fill="E0E7FF"/>
          </w:tcPr>
          <w:p>
            <w:pPr>
              <w:jc w:val="center"/>
            </w:pPr>
            <w:r>
              <w:rPr>
                <w:b/>
                <w:sz w:val="21"/>
              </w:rPr>
              <w:t>EXPANSION</w:t>
            </w:r>
          </w:p>
        </w:tc>
      </w:tr>
      <w:tr>
        <w:tc>
          <w:tcPr>
            <w:tcW w:type="dxa" w:w="2880"/>
            <w:tcMar>
              <w:top w:w="60" w:type="dxa"/>
              <w:bottom w:w="60" w:type="dxa"/>
              <w:left w:w="100" w:type="dxa"/>
              <w:right w:w="100" w:type="dxa"/>
            </w:tcMar>
          </w:tcPr>
          <w:p>
            <w:pPr>
              <w:spacing w:line="276" w:lineRule="auto"/>
              <w:jc w:val="left"/>
            </w:pPr>
            <w:r>
              <w:rPr>
                <w:b/>
                <w:sz w:val="19"/>
              </w:rPr>
              <w:t>AI</w:t>
            </w:r>
          </w:p>
        </w:tc>
        <w:tc>
          <w:tcPr>
            <w:tcW w:type="dxa" w:w="6480"/>
            <w:tcMar>
              <w:top w:w="60" w:type="dxa"/>
              <w:bottom w:w="60" w:type="dxa"/>
              <w:left w:w="100" w:type="dxa"/>
              <w:right w:w="100" w:type="dxa"/>
            </w:tcMar>
          </w:tcPr>
          <w:p>
            <w:pPr>
              <w:spacing w:line="276" w:lineRule="auto"/>
              <w:jc w:val="left"/>
            </w:pPr>
            <w:r>
              <w:rPr>
                <w:sz w:val="19"/>
              </w:rPr>
              <w:t>Artificial Intelligence</w:t>
            </w:r>
          </w:p>
        </w:tc>
      </w:tr>
      <w:tr>
        <w:tc>
          <w:tcPr>
            <w:tcW w:type="dxa" w:w="2880"/>
            <w:tcMar>
              <w:top w:w="60" w:type="dxa"/>
              <w:bottom w:w="60" w:type="dxa"/>
              <w:left w:w="100" w:type="dxa"/>
              <w:right w:w="100" w:type="dxa"/>
            </w:tcMar>
          </w:tcPr>
          <w:p>
            <w:pPr>
              <w:spacing w:line="276" w:lineRule="auto"/>
              <w:jc w:val="left"/>
            </w:pPr>
            <w:r>
              <w:rPr>
                <w:b/>
                <w:sz w:val="19"/>
              </w:rPr>
              <w:t>API</w:t>
            </w:r>
          </w:p>
        </w:tc>
        <w:tc>
          <w:tcPr>
            <w:tcW w:type="dxa" w:w="6480"/>
            <w:tcMar>
              <w:top w:w="60" w:type="dxa"/>
              <w:bottom w:w="60" w:type="dxa"/>
              <w:left w:w="100" w:type="dxa"/>
              <w:right w:w="100" w:type="dxa"/>
            </w:tcMar>
          </w:tcPr>
          <w:p>
            <w:pPr>
              <w:spacing w:line="276" w:lineRule="auto"/>
              <w:jc w:val="left"/>
            </w:pPr>
            <w:r>
              <w:rPr>
                <w:sz w:val="19"/>
              </w:rPr>
              <w:t>Application Programming Interface</w:t>
            </w:r>
          </w:p>
        </w:tc>
      </w:tr>
      <w:tr>
        <w:tc>
          <w:tcPr>
            <w:tcW w:type="dxa" w:w="2880"/>
            <w:tcMar>
              <w:top w:w="60" w:type="dxa"/>
              <w:bottom w:w="60" w:type="dxa"/>
              <w:left w:w="100" w:type="dxa"/>
              <w:right w:w="100" w:type="dxa"/>
            </w:tcMar>
          </w:tcPr>
          <w:p>
            <w:pPr>
              <w:spacing w:line="276" w:lineRule="auto"/>
              <w:jc w:val="left"/>
            </w:pPr>
            <w:r>
              <w:rPr>
                <w:b/>
                <w:sz w:val="19"/>
              </w:rPr>
              <w:t>BNS</w:t>
            </w:r>
          </w:p>
        </w:tc>
        <w:tc>
          <w:tcPr>
            <w:tcW w:type="dxa" w:w="6480"/>
            <w:tcMar>
              <w:top w:w="60" w:type="dxa"/>
              <w:bottom w:w="60" w:type="dxa"/>
              <w:left w:w="100" w:type="dxa"/>
              <w:right w:w="100" w:type="dxa"/>
            </w:tcMar>
          </w:tcPr>
          <w:p>
            <w:pPr>
              <w:spacing w:line="276" w:lineRule="auto"/>
              <w:jc w:val="left"/>
            </w:pPr>
            <w:r>
              <w:rPr>
                <w:sz w:val="19"/>
              </w:rPr>
              <w:t>Bharatiya Nyaya Sanhita, 2023</w:t>
            </w:r>
          </w:p>
        </w:tc>
      </w:tr>
      <w:tr>
        <w:tc>
          <w:tcPr>
            <w:tcW w:type="dxa" w:w="2880"/>
            <w:tcMar>
              <w:top w:w="60" w:type="dxa"/>
              <w:bottom w:w="60" w:type="dxa"/>
              <w:left w:w="100" w:type="dxa"/>
              <w:right w:w="100" w:type="dxa"/>
            </w:tcMar>
          </w:tcPr>
          <w:p>
            <w:pPr>
              <w:spacing w:line="276" w:lineRule="auto"/>
              <w:jc w:val="left"/>
            </w:pPr>
            <w:r>
              <w:rPr>
                <w:b/>
                <w:sz w:val="19"/>
              </w:rPr>
              <w:t>BNSS</w:t>
            </w:r>
          </w:p>
        </w:tc>
        <w:tc>
          <w:tcPr>
            <w:tcW w:type="dxa" w:w="6480"/>
            <w:tcMar>
              <w:top w:w="60" w:type="dxa"/>
              <w:bottom w:w="60" w:type="dxa"/>
              <w:left w:w="100" w:type="dxa"/>
              <w:right w:w="100" w:type="dxa"/>
            </w:tcMar>
          </w:tcPr>
          <w:p>
            <w:pPr>
              <w:spacing w:line="276" w:lineRule="auto"/>
              <w:jc w:val="left"/>
            </w:pPr>
            <w:r>
              <w:rPr>
                <w:sz w:val="19"/>
              </w:rPr>
              <w:t>Bharatiya Nagarik Suraksha Sanhita, 2023</w:t>
            </w:r>
          </w:p>
        </w:tc>
      </w:tr>
      <w:tr>
        <w:tc>
          <w:tcPr>
            <w:tcW w:type="dxa" w:w="2880"/>
            <w:tcMar>
              <w:top w:w="60" w:type="dxa"/>
              <w:bottom w:w="60" w:type="dxa"/>
              <w:left w:w="100" w:type="dxa"/>
              <w:right w:w="100" w:type="dxa"/>
            </w:tcMar>
          </w:tcPr>
          <w:p>
            <w:pPr>
              <w:spacing w:line="276" w:lineRule="auto"/>
              <w:jc w:val="left"/>
            </w:pPr>
            <w:r>
              <w:rPr>
                <w:b/>
                <w:sz w:val="19"/>
              </w:rPr>
              <w:t>BSA</w:t>
            </w:r>
          </w:p>
        </w:tc>
        <w:tc>
          <w:tcPr>
            <w:tcW w:type="dxa" w:w="6480"/>
            <w:tcMar>
              <w:top w:w="60" w:type="dxa"/>
              <w:bottom w:w="60" w:type="dxa"/>
              <w:left w:w="100" w:type="dxa"/>
              <w:right w:w="100" w:type="dxa"/>
            </w:tcMar>
          </w:tcPr>
          <w:p>
            <w:pPr>
              <w:spacing w:line="276" w:lineRule="auto"/>
              <w:jc w:val="left"/>
            </w:pPr>
            <w:r>
              <w:rPr>
                <w:sz w:val="19"/>
              </w:rPr>
              <w:t>Bharatiya Sakshya Adhiniyam, 2023</w:t>
            </w:r>
          </w:p>
        </w:tc>
      </w:tr>
      <w:tr>
        <w:tc>
          <w:tcPr>
            <w:tcW w:type="dxa" w:w="2880"/>
            <w:tcMar>
              <w:top w:w="60" w:type="dxa"/>
              <w:bottom w:w="60" w:type="dxa"/>
              <w:left w:w="100" w:type="dxa"/>
              <w:right w:w="100" w:type="dxa"/>
            </w:tcMar>
          </w:tcPr>
          <w:p>
            <w:pPr>
              <w:spacing w:line="276" w:lineRule="auto"/>
              <w:jc w:val="left"/>
            </w:pPr>
            <w:r>
              <w:rPr>
                <w:b/>
                <w:sz w:val="19"/>
              </w:rPr>
              <w:t>CIS</w:t>
            </w:r>
          </w:p>
        </w:tc>
        <w:tc>
          <w:tcPr>
            <w:tcW w:type="dxa" w:w="6480"/>
            <w:tcMar>
              <w:top w:w="60" w:type="dxa"/>
              <w:bottom w:w="60" w:type="dxa"/>
              <w:left w:w="100" w:type="dxa"/>
              <w:right w:w="100" w:type="dxa"/>
            </w:tcMar>
          </w:tcPr>
          <w:p>
            <w:pPr>
              <w:spacing w:line="276" w:lineRule="auto"/>
              <w:jc w:val="left"/>
            </w:pPr>
            <w:r>
              <w:rPr>
                <w:sz w:val="19"/>
              </w:rPr>
              <w:t>Case Information System</w:t>
            </w:r>
          </w:p>
        </w:tc>
      </w:tr>
      <w:tr>
        <w:tc>
          <w:tcPr>
            <w:tcW w:type="dxa" w:w="2880"/>
            <w:tcMar>
              <w:top w:w="60" w:type="dxa"/>
              <w:bottom w:w="60" w:type="dxa"/>
              <w:left w:w="100" w:type="dxa"/>
              <w:right w:w="100" w:type="dxa"/>
            </w:tcMar>
          </w:tcPr>
          <w:p>
            <w:pPr>
              <w:spacing w:line="276" w:lineRule="auto"/>
              <w:jc w:val="left"/>
            </w:pPr>
            <w:r>
              <w:rPr>
                <w:b/>
                <w:sz w:val="19"/>
              </w:rPr>
              <w:t>CNR</w:t>
            </w:r>
          </w:p>
        </w:tc>
        <w:tc>
          <w:tcPr>
            <w:tcW w:type="dxa" w:w="6480"/>
            <w:tcMar>
              <w:top w:w="60" w:type="dxa"/>
              <w:bottom w:w="60" w:type="dxa"/>
              <w:left w:w="100" w:type="dxa"/>
              <w:right w:w="100" w:type="dxa"/>
            </w:tcMar>
          </w:tcPr>
          <w:p>
            <w:pPr>
              <w:spacing w:line="276" w:lineRule="auto"/>
              <w:jc w:val="left"/>
            </w:pPr>
            <w:r>
              <w:rPr>
                <w:sz w:val="19"/>
              </w:rPr>
              <w:t>Case Number Record (16-Digit Alphanumeric Code)</w:t>
            </w:r>
          </w:p>
        </w:tc>
      </w:tr>
      <w:tr>
        <w:tc>
          <w:tcPr>
            <w:tcW w:type="dxa" w:w="2880"/>
            <w:tcMar>
              <w:top w:w="60" w:type="dxa"/>
              <w:bottom w:w="60" w:type="dxa"/>
              <w:left w:w="100" w:type="dxa"/>
              <w:right w:w="100" w:type="dxa"/>
            </w:tcMar>
          </w:tcPr>
          <w:p>
            <w:pPr>
              <w:spacing w:line="276" w:lineRule="auto"/>
              <w:jc w:val="left"/>
            </w:pPr>
            <w:r>
              <w:rPr>
                <w:b/>
                <w:sz w:val="19"/>
              </w:rPr>
              <w:t>Cr.P.C.</w:t>
            </w:r>
          </w:p>
        </w:tc>
        <w:tc>
          <w:tcPr>
            <w:tcW w:type="dxa" w:w="6480"/>
            <w:tcMar>
              <w:top w:w="60" w:type="dxa"/>
              <w:bottom w:w="60" w:type="dxa"/>
              <w:left w:w="100" w:type="dxa"/>
              <w:right w:w="100" w:type="dxa"/>
            </w:tcMar>
          </w:tcPr>
          <w:p>
            <w:pPr>
              <w:spacing w:line="276" w:lineRule="auto"/>
              <w:jc w:val="left"/>
            </w:pPr>
            <w:r>
              <w:rPr>
                <w:sz w:val="19"/>
              </w:rPr>
              <w:t>Code of Criminal Procedure, 1973</w:t>
            </w:r>
          </w:p>
        </w:tc>
      </w:tr>
      <w:tr>
        <w:tc>
          <w:tcPr>
            <w:tcW w:type="dxa" w:w="2880"/>
            <w:tcMar>
              <w:top w:w="60" w:type="dxa"/>
              <w:bottom w:w="60" w:type="dxa"/>
              <w:left w:w="100" w:type="dxa"/>
              <w:right w:w="100" w:type="dxa"/>
            </w:tcMar>
          </w:tcPr>
          <w:p>
            <w:pPr>
              <w:spacing w:line="276" w:lineRule="auto"/>
              <w:jc w:val="left"/>
            </w:pPr>
            <w:r>
              <w:rPr>
                <w:b/>
                <w:sz w:val="19"/>
              </w:rPr>
              <w:t>CSRF</w:t>
            </w:r>
          </w:p>
        </w:tc>
        <w:tc>
          <w:tcPr>
            <w:tcW w:type="dxa" w:w="6480"/>
            <w:tcMar>
              <w:top w:w="60" w:type="dxa"/>
              <w:bottom w:w="60" w:type="dxa"/>
              <w:left w:w="100" w:type="dxa"/>
              <w:right w:w="100" w:type="dxa"/>
            </w:tcMar>
          </w:tcPr>
          <w:p>
            <w:pPr>
              <w:spacing w:line="276" w:lineRule="auto"/>
              <w:jc w:val="left"/>
            </w:pPr>
            <w:r>
              <w:rPr>
                <w:sz w:val="19"/>
              </w:rPr>
              <w:t>Cross-Site Request Forgery</w:t>
            </w:r>
          </w:p>
        </w:tc>
      </w:tr>
      <w:tr>
        <w:tc>
          <w:tcPr>
            <w:tcW w:type="dxa" w:w="2880"/>
            <w:tcMar>
              <w:top w:w="60" w:type="dxa"/>
              <w:bottom w:w="60" w:type="dxa"/>
              <w:left w:w="100" w:type="dxa"/>
              <w:right w:w="100" w:type="dxa"/>
            </w:tcMar>
          </w:tcPr>
          <w:p>
            <w:pPr>
              <w:spacing w:line="276" w:lineRule="auto"/>
              <w:jc w:val="left"/>
            </w:pPr>
            <w:r>
              <w:rPr>
                <w:b/>
                <w:sz w:val="19"/>
              </w:rPr>
              <w:t>DFD</w:t>
            </w:r>
          </w:p>
        </w:tc>
        <w:tc>
          <w:tcPr>
            <w:tcW w:type="dxa" w:w="6480"/>
            <w:tcMar>
              <w:top w:w="60" w:type="dxa"/>
              <w:bottom w:w="60" w:type="dxa"/>
              <w:left w:w="100" w:type="dxa"/>
              <w:right w:w="100" w:type="dxa"/>
            </w:tcMar>
          </w:tcPr>
          <w:p>
            <w:pPr>
              <w:spacing w:line="276" w:lineRule="auto"/>
              <w:jc w:val="left"/>
            </w:pPr>
            <w:r>
              <w:rPr>
                <w:sz w:val="19"/>
              </w:rPr>
              <w:t>Data Flow Diagram</w:t>
            </w:r>
          </w:p>
        </w:tc>
      </w:tr>
      <w:tr>
        <w:tc>
          <w:tcPr>
            <w:tcW w:type="dxa" w:w="2880"/>
            <w:tcMar>
              <w:top w:w="60" w:type="dxa"/>
              <w:bottom w:w="60" w:type="dxa"/>
              <w:left w:w="100" w:type="dxa"/>
              <w:right w:w="100" w:type="dxa"/>
            </w:tcMar>
          </w:tcPr>
          <w:p>
            <w:pPr>
              <w:spacing w:line="276" w:lineRule="auto"/>
              <w:jc w:val="left"/>
            </w:pPr>
            <w:r>
              <w:rPr>
                <w:b/>
                <w:sz w:val="19"/>
              </w:rPr>
              <w:t>ER</w:t>
            </w:r>
          </w:p>
        </w:tc>
        <w:tc>
          <w:tcPr>
            <w:tcW w:type="dxa" w:w="6480"/>
            <w:tcMar>
              <w:top w:w="60" w:type="dxa"/>
              <w:bottom w:w="60" w:type="dxa"/>
              <w:left w:w="100" w:type="dxa"/>
              <w:right w:w="100" w:type="dxa"/>
            </w:tcMar>
          </w:tcPr>
          <w:p>
            <w:pPr>
              <w:spacing w:line="276" w:lineRule="auto"/>
              <w:jc w:val="left"/>
            </w:pPr>
            <w:r>
              <w:rPr>
                <w:sz w:val="19"/>
              </w:rPr>
              <w:t>Entity Relationship</w:t>
            </w:r>
          </w:p>
        </w:tc>
      </w:tr>
      <w:tr>
        <w:tc>
          <w:tcPr>
            <w:tcW w:type="dxa" w:w="2880"/>
            <w:tcMar>
              <w:top w:w="60" w:type="dxa"/>
              <w:bottom w:w="60" w:type="dxa"/>
              <w:left w:w="100" w:type="dxa"/>
              <w:right w:w="100" w:type="dxa"/>
            </w:tcMar>
          </w:tcPr>
          <w:p>
            <w:pPr>
              <w:spacing w:line="276" w:lineRule="auto"/>
              <w:jc w:val="left"/>
            </w:pPr>
            <w:r>
              <w:rPr>
                <w:b/>
                <w:sz w:val="19"/>
              </w:rPr>
              <w:t>FOSS</w:t>
            </w:r>
          </w:p>
        </w:tc>
        <w:tc>
          <w:tcPr>
            <w:tcW w:type="dxa" w:w="6480"/>
            <w:tcMar>
              <w:top w:w="60" w:type="dxa"/>
              <w:bottom w:w="60" w:type="dxa"/>
              <w:left w:w="100" w:type="dxa"/>
              <w:right w:w="100" w:type="dxa"/>
            </w:tcMar>
          </w:tcPr>
          <w:p>
            <w:pPr>
              <w:spacing w:line="276" w:lineRule="auto"/>
              <w:jc w:val="left"/>
            </w:pPr>
            <w:r>
              <w:rPr>
                <w:sz w:val="19"/>
              </w:rPr>
              <w:t>Free and Open Source Software</w:t>
            </w:r>
          </w:p>
        </w:tc>
      </w:tr>
      <w:tr>
        <w:tc>
          <w:tcPr>
            <w:tcW w:type="dxa" w:w="2880"/>
            <w:tcMar>
              <w:top w:w="60" w:type="dxa"/>
              <w:bottom w:w="60" w:type="dxa"/>
              <w:left w:w="100" w:type="dxa"/>
              <w:right w:w="100" w:type="dxa"/>
            </w:tcMar>
          </w:tcPr>
          <w:p>
            <w:pPr>
              <w:spacing w:line="276" w:lineRule="auto"/>
              <w:jc w:val="left"/>
            </w:pPr>
            <w:r>
              <w:rPr>
                <w:b/>
                <w:sz w:val="19"/>
              </w:rPr>
              <w:t>IPC</w:t>
            </w:r>
          </w:p>
        </w:tc>
        <w:tc>
          <w:tcPr>
            <w:tcW w:type="dxa" w:w="6480"/>
            <w:tcMar>
              <w:top w:w="60" w:type="dxa"/>
              <w:bottom w:w="60" w:type="dxa"/>
              <w:left w:w="100" w:type="dxa"/>
              <w:right w:w="100" w:type="dxa"/>
            </w:tcMar>
          </w:tcPr>
          <w:p>
            <w:pPr>
              <w:spacing w:line="276" w:lineRule="auto"/>
              <w:jc w:val="left"/>
            </w:pPr>
            <w:r>
              <w:rPr>
                <w:sz w:val="19"/>
              </w:rPr>
              <w:t>Indian Penal Code, 1860</w:t>
            </w:r>
          </w:p>
        </w:tc>
      </w:tr>
      <w:tr>
        <w:tc>
          <w:tcPr>
            <w:tcW w:type="dxa" w:w="2880"/>
            <w:tcMar>
              <w:top w:w="60" w:type="dxa"/>
              <w:bottom w:w="60" w:type="dxa"/>
              <w:left w:w="100" w:type="dxa"/>
              <w:right w:w="100" w:type="dxa"/>
            </w:tcMar>
          </w:tcPr>
          <w:p>
            <w:pPr>
              <w:spacing w:line="276" w:lineRule="auto"/>
              <w:jc w:val="left"/>
            </w:pPr>
            <w:r>
              <w:rPr>
                <w:b/>
                <w:sz w:val="19"/>
              </w:rPr>
              <w:t>JWT</w:t>
            </w:r>
          </w:p>
        </w:tc>
        <w:tc>
          <w:tcPr>
            <w:tcW w:type="dxa" w:w="6480"/>
            <w:tcMar>
              <w:top w:w="60" w:type="dxa"/>
              <w:bottom w:w="60" w:type="dxa"/>
              <w:left w:w="100" w:type="dxa"/>
              <w:right w:w="100" w:type="dxa"/>
            </w:tcMar>
          </w:tcPr>
          <w:p>
            <w:pPr>
              <w:spacing w:line="276" w:lineRule="auto"/>
              <w:jc w:val="left"/>
            </w:pPr>
            <w:r>
              <w:rPr>
                <w:sz w:val="19"/>
              </w:rPr>
              <w:t>JSON Web Token</w:t>
            </w:r>
          </w:p>
        </w:tc>
      </w:tr>
      <w:tr>
        <w:tc>
          <w:tcPr>
            <w:tcW w:type="dxa" w:w="2880"/>
            <w:tcMar>
              <w:top w:w="60" w:type="dxa"/>
              <w:bottom w:w="60" w:type="dxa"/>
              <w:left w:w="100" w:type="dxa"/>
              <w:right w:w="100" w:type="dxa"/>
            </w:tcMar>
          </w:tcPr>
          <w:p>
            <w:pPr>
              <w:spacing w:line="276" w:lineRule="auto"/>
              <w:jc w:val="left"/>
            </w:pPr>
            <w:r>
              <w:rPr>
                <w:b/>
                <w:sz w:val="19"/>
              </w:rPr>
              <w:t>NER</w:t>
            </w:r>
          </w:p>
        </w:tc>
        <w:tc>
          <w:tcPr>
            <w:tcW w:type="dxa" w:w="6480"/>
            <w:tcMar>
              <w:top w:w="60" w:type="dxa"/>
              <w:bottom w:w="60" w:type="dxa"/>
              <w:left w:w="100" w:type="dxa"/>
              <w:right w:w="100" w:type="dxa"/>
            </w:tcMar>
          </w:tcPr>
          <w:p>
            <w:pPr>
              <w:spacing w:line="276" w:lineRule="auto"/>
              <w:jc w:val="left"/>
            </w:pPr>
            <w:r>
              <w:rPr>
                <w:sz w:val="19"/>
              </w:rPr>
              <w:t>Named Entity Recognition</w:t>
            </w:r>
          </w:p>
        </w:tc>
      </w:tr>
      <w:tr>
        <w:tc>
          <w:tcPr>
            <w:tcW w:type="dxa" w:w="2880"/>
            <w:tcMar>
              <w:top w:w="60" w:type="dxa"/>
              <w:bottom w:w="60" w:type="dxa"/>
              <w:left w:w="100" w:type="dxa"/>
              <w:right w:w="100" w:type="dxa"/>
            </w:tcMar>
          </w:tcPr>
          <w:p>
            <w:pPr>
              <w:spacing w:line="276" w:lineRule="auto"/>
              <w:jc w:val="left"/>
            </w:pPr>
            <w:r>
              <w:rPr>
                <w:b/>
                <w:sz w:val="19"/>
              </w:rPr>
              <w:t>NI Act</w:t>
            </w:r>
          </w:p>
        </w:tc>
        <w:tc>
          <w:tcPr>
            <w:tcW w:type="dxa" w:w="6480"/>
            <w:tcMar>
              <w:top w:w="60" w:type="dxa"/>
              <w:bottom w:w="60" w:type="dxa"/>
              <w:left w:w="100" w:type="dxa"/>
              <w:right w:w="100" w:type="dxa"/>
            </w:tcMar>
          </w:tcPr>
          <w:p>
            <w:pPr>
              <w:spacing w:line="276" w:lineRule="auto"/>
              <w:jc w:val="left"/>
            </w:pPr>
            <w:r>
              <w:rPr>
                <w:sz w:val="19"/>
              </w:rPr>
              <w:t>Negotiable Instruments Act, 1881</w:t>
            </w:r>
          </w:p>
        </w:tc>
      </w:tr>
      <w:tr>
        <w:tc>
          <w:tcPr>
            <w:tcW w:type="dxa" w:w="2880"/>
            <w:tcMar>
              <w:top w:w="60" w:type="dxa"/>
              <w:bottom w:w="60" w:type="dxa"/>
              <w:left w:w="100" w:type="dxa"/>
              <w:right w:w="100" w:type="dxa"/>
            </w:tcMar>
          </w:tcPr>
          <w:p>
            <w:pPr>
              <w:spacing w:line="276" w:lineRule="auto"/>
              <w:jc w:val="left"/>
            </w:pPr>
            <w:r>
              <w:rPr>
                <w:b/>
                <w:sz w:val="19"/>
              </w:rPr>
              <w:t>NLP</w:t>
            </w:r>
          </w:p>
        </w:tc>
        <w:tc>
          <w:tcPr>
            <w:tcW w:type="dxa" w:w="6480"/>
            <w:tcMar>
              <w:top w:w="60" w:type="dxa"/>
              <w:bottom w:w="60" w:type="dxa"/>
              <w:left w:w="100" w:type="dxa"/>
              <w:right w:w="100" w:type="dxa"/>
            </w:tcMar>
          </w:tcPr>
          <w:p>
            <w:pPr>
              <w:spacing w:line="276" w:lineRule="auto"/>
              <w:jc w:val="left"/>
            </w:pPr>
            <w:r>
              <w:rPr>
                <w:sz w:val="19"/>
              </w:rPr>
              <w:t>Natural Language Processing</w:t>
            </w:r>
          </w:p>
        </w:tc>
      </w:tr>
      <w:tr>
        <w:tc>
          <w:tcPr>
            <w:tcW w:type="dxa" w:w="2880"/>
            <w:tcMar>
              <w:top w:w="60" w:type="dxa"/>
              <w:bottom w:w="60" w:type="dxa"/>
              <w:left w:w="100" w:type="dxa"/>
              <w:right w:w="100" w:type="dxa"/>
            </w:tcMar>
          </w:tcPr>
          <w:p>
            <w:pPr>
              <w:spacing w:line="276" w:lineRule="auto"/>
              <w:jc w:val="left"/>
            </w:pPr>
            <w:r>
              <w:rPr>
                <w:b/>
                <w:sz w:val="19"/>
              </w:rPr>
              <w:t>OWASP</w:t>
            </w:r>
          </w:p>
        </w:tc>
        <w:tc>
          <w:tcPr>
            <w:tcW w:type="dxa" w:w="6480"/>
            <w:tcMar>
              <w:top w:w="60" w:type="dxa"/>
              <w:bottom w:w="60" w:type="dxa"/>
              <w:left w:w="100" w:type="dxa"/>
              <w:right w:w="100" w:type="dxa"/>
            </w:tcMar>
          </w:tcPr>
          <w:p>
            <w:pPr>
              <w:spacing w:line="276" w:lineRule="auto"/>
              <w:jc w:val="left"/>
            </w:pPr>
            <w:r>
              <w:rPr>
                <w:sz w:val="19"/>
              </w:rPr>
              <w:t>Open Worldwide Application Security Project</w:t>
            </w:r>
          </w:p>
        </w:tc>
      </w:tr>
      <w:tr>
        <w:tc>
          <w:tcPr>
            <w:tcW w:type="dxa" w:w="2880"/>
            <w:tcMar>
              <w:top w:w="60" w:type="dxa"/>
              <w:bottom w:w="60" w:type="dxa"/>
              <w:left w:w="100" w:type="dxa"/>
              <w:right w:w="100" w:type="dxa"/>
            </w:tcMar>
          </w:tcPr>
          <w:p>
            <w:pPr>
              <w:spacing w:line="276" w:lineRule="auto"/>
              <w:jc w:val="left"/>
            </w:pPr>
            <w:r>
              <w:rPr>
                <w:b/>
                <w:sz w:val="19"/>
              </w:rPr>
              <w:t>PDF</w:t>
            </w:r>
          </w:p>
        </w:tc>
        <w:tc>
          <w:tcPr>
            <w:tcW w:type="dxa" w:w="6480"/>
            <w:tcMar>
              <w:top w:w="60" w:type="dxa"/>
              <w:bottom w:w="60" w:type="dxa"/>
              <w:left w:w="100" w:type="dxa"/>
              <w:right w:w="100" w:type="dxa"/>
            </w:tcMar>
          </w:tcPr>
          <w:p>
            <w:pPr>
              <w:spacing w:line="276" w:lineRule="auto"/>
              <w:jc w:val="left"/>
            </w:pPr>
            <w:r>
              <w:rPr>
                <w:sz w:val="19"/>
              </w:rPr>
              <w:t>Portable Document Format</w:t>
            </w:r>
          </w:p>
        </w:tc>
      </w:tr>
      <w:tr>
        <w:tc>
          <w:tcPr>
            <w:tcW w:type="dxa" w:w="2880"/>
            <w:tcMar>
              <w:top w:w="60" w:type="dxa"/>
              <w:bottom w:w="60" w:type="dxa"/>
              <w:left w:w="100" w:type="dxa"/>
              <w:right w:w="100" w:type="dxa"/>
            </w:tcMar>
          </w:tcPr>
          <w:p>
            <w:pPr>
              <w:spacing w:line="276" w:lineRule="auto"/>
              <w:jc w:val="left"/>
            </w:pPr>
            <w:r>
              <w:rPr>
                <w:b/>
                <w:sz w:val="19"/>
              </w:rPr>
              <w:t>RBAC</w:t>
            </w:r>
          </w:p>
        </w:tc>
        <w:tc>
          <w:tcPr>
            <w:tcW w:type="dxa" w:w="6480"/>
            <w:tcMar>
              <w:top w:w="60" w:type="dxa"/>
              <w:bottom w:w="60" w:type="dxa"/>
              <w:left w:w="100" w:type="dxa"/>
              <w:right w:w="100" w:type="dxa"/>
            </w:tcMar>
          </w:tcPr>
          <w:p>
            <w:pPr>
              <w:spacing w:line="276" w:lineRule="auto"/>
              <w:jc w:val="left"/>
            </w:pPr>
            <w:r>
              <w:rPr>
                <w:sz w:val="19"/>
              </w:rPr>
              <w:t>Role-Based Access Control</w:t>
            </w:r>
          </w:p>
        </w:tc>
      </w:tr>
      <w:tr>
        <w:tc>
          <w:tcPr>
            <w:tcW w:type="dxa" w:w="2880"/>
            <w:tcMar>
              <w:top w:w="60" w:type="dxa"/>
              <w:bottom w:w="60" w:type="dxa"/>
              <w:left w:w="100" w:type="dxa"/>
              <w:right w:w="100" w:type="dxa"/>
            </w:tcMar>
          </w:tcPr>
          <w:p>
            <w:pPr>
              <w:spacing w:line="276" w:lineRule="auto"/>
              <w:jc w:val="left"/>
            </w:pPr>
            <w:r>
              <w:rPr>
                <w:b/>
                <w:sz w:val="19"/>
              </w:rPr>
              <w:t>RRF</w:t>
            </w:r>
          </w:p>
        </w:tc>
        <w:tc>
          <w:tcPr>
            <w:tcW w:type="dxa" w:w="6480"/>
            <w:tcMar>
              <w:top w:w="60" w:type="dxa"/>
              <w:bottom w:w="60" w:type="dxa"/>
              <w:left w:w="100" w:type="dxa"/>
              <w:right w:w="100" w:type="dxa"/>
            </w:tcMar>
          </w:tcPr>
          <w:p>
            <w:pPr>
              <w:spacing w:line="276" w:lineRule="auto"/>
              <w:jc w:val="left"/>
            </w:pPr>
            <w:r>
              <w:rPr>
                <w:sz w:val="19"/>
              </w:rPr>
              <w:t>Reciprocal Rank Fusion</w:t>
            </w:r>
          </w:p>
        </w:tc>
      </w:tr>
      <w:tr>
        <w:tc>
          <w:tcPr>
            <w:tcW w:type="dxa" w:w="2880"/>
            <w:tcMar>
              <w:top w:w="60" w:type="dxa"/>
              <w:bottom w:w="60" w:type="dxa"/>
              <w:left w:w="100" w:type="dxa"/>
              <w:right w:w="100" w:type="dxa"/>
            </w:tcMar>
          </w:tcPr>
          <w:p>
            <w:pPr>
              <w:spacing w:line="276" w:lineRule="auto"/>
              <w:jc w:val="left"/>
            </w:pPr>
            <w:r>
              <w:rPr>
                <w:b/>
                <w:sz w:val="19"/>
              </w:rPr>
              <w:t>SDG</w:t>
            </w:r>
          </w:p>
        </w:tc>
        <w:tc>
          <w:tcPr>
            <w:tcW w:type="dxa" w:w="6480"/>
            <w:tcMar>
              <w:top w:w="60" w:type="dxa"/>
              <w:bottom w:w="60" w:type="dxa"/>
              <w:left w:w="100" w:type="dxa"/>
              <w:right w:w="100" w:type="dxa"/>
            </w:tcMar>
          </w:tcPr>
          <w:p>
            <w:pPr>
              <w:spacing w:line="276" w:lineRule="auto"/>
              <w:jc w:val="left"/>
            </w:pPr>
            <w:r>
              <w:rPr>
                <w:sz w:val="19"/>
              </w:rPr>
              <w:t>Sustainable Development Goal</w:t>
            </w:r>
          </w:p>
        </w:tc>
      </w:tr>
      <w:tr>
        <w:tc>
          <w:tcPr>
            <w:tcW w:type="dxa" w:w="2880"/>
            <w:tcMar>
              <w:top w:w="60" w:type="dxa"/>
              <w:bottom w:w="60" w:type="dxa"/>
              <w:left w:w="100" w:type="dxa"/>
              <w:right w:w="100" w:type="dxa"/>
            </w:tcMar>
          </w:tcPr>
          <w:p>
            <w:pPr>
              <w:spacing w:line="276" w:lineRule="auto"/>
              <w:jc w:val="left"/>
            </w:pPr>
            <w:r>
              <w:rPr>
                <w:b/>
                <w:sz w:val="19"/>
              </w:rPr>
              <w:t>SHA-256</w:t>
            </w:r>
          </w:p>
        </w:tc>
        <w:tc>
          <w:tcPr>
            <w:tcW w:type="dxa" w:w="6480"/>
            <w:tcMar>
              <w:top w:w="60" w:type="dxa"/>
              <w:bottom w:w="60" w:type="dxa"/>
              <w:left w:w="100" w:type="dxa"/>
              <w:right w:w="100" w:type="dxa"/>
            </w:tcMar>
          </w:tcPr>
          <w:p>
            <w:pPr>
              <w:spacing w:line="276" w:lineRule="auto"/>
              <w:jc w:val="left"/>
            </w:pPr>
            <w:r>
              <w:rPr>
                <w:sz w:val="19"/>
              </w:rPr>
              <w:t>Secure Hash Algorithm (256-bit)</w:t>
            </w:r>
          </w:p>
        </w:tc>
      </w:tr>
      <w:tr>
        <w:tc>
          <w:tcPr>
            <w:tcW w:type="dxa" w:w="2880"/>
            <w:tcMar>
              <w:top w:w="60" w:type="dxa"/>
              <w:bottom w:w="60" w:type="dxa"/>
              <w:left w:w="100" w:type="dxa"/>
              <w:right w:w="100" w:type="dxa"/>
            </w:tcMar>
          </w:tcPr>
          <w:p>
            <w:pPr>
              <w:spacing w:line="276" w:lineRule="auto"/>
              <w:jc w:val="left"/>
            </w:pPr>
            <w:r>
              <w:rPr>
                <w:b/>
                <w:sz w:val="19"/>
              </w:rPr>
              <w:t>SRS</w:t>
            </w:r>
          </w:p>
        </w:tc>
        <w:tc>
          <w:tcPr>
            <w:tcW w:type="dxa" w:w="6480"/>
            <w:tcMar>
              <w:top w:w="60" w:type="dxa"/>
              <w:bottom w:w="60" w:type="dxa"/>
              <w:left w:w="100" w:type="dxa"/>
              <w:right w:w="100" w:type="dxa"/>
            </w:tcMar>
          </w:tcPr>
          <w:p>
            <w:pPr>
              <w:spacing w:line="276" w:lineRule="auto"/>
              <w:jc w:val="left"/>
            </w:pPr>
            <w:r>
              <w:rPr>
                <w:sz w:val="19"/>
              </w:rPr>
              <w:t>Software Requirements Specification</w:t>
            </w:r>
          </w:p>
        </w:tc>
      </w:tr>
      <w:tr>
        <w:tc>
          <w:tcPr>
            <w:tcW w:type="dxa" w:w="2880"/>
            <w:tcMar>
              <w:top w:w="60" w:type="dxa"/>
              <w:bottom w:w="60" w:type="dxa"/>
              <w:left w:w="100" w:type="dxa"/>
              <w:right w:w="100" w:type="dxa"/>
            </w:tcMar>
          </w:tcPr>
          <w:p>
            <w:pPr>
              <w:spacing w:line="276" w:lineRule="auto"/>
              <w:jc w:val="left"/>
            </w:pPr>
            <w:r>
              <w:rPr>
                <w:b/>
                <w:sz w:val="19"/>
              </w:rPr>
              <w:t>UI</w:t>
            </w:r>
          </w:p>
        </w:tc>
        <w:tc>
          <w:tcPr>
            <w:tcW w:type="dxa" w:w="6480"/>
            <w:tcMar>
              <w:top w:w="60" w:type="dxa"/>
              <w:bottom w:w="60" w:type="dxa"/>
              <w:left w:w="100" w:type="dxa"/>
              <w:right w:w="100" w:type="dxa"/>
            </w:tcMar>
          </w:tcPr>
          <w:p>
            <w:pPr>
              <w:spacing w:line="276" w:lineRule="auto"/>
              <w:jc w:val="left"/>
            </w:pPr>
            <w:r>
              <w:rPr>
                <w:sz w:val="19"/>
              </w:rPr>
              <w:t>User Interface</w:t>
            </w:r>
          </w:p>
        </w:tc>
      </w:tr>
      <w:tr>
        <w:tc>
          <w:tcPr>
            <w:tcW w:type="dxa" w:w="2880"/>
            <w:tcMar>
              <w:top w:w="60" w:type="dxa"/>
              <w:bottom w:w="60" w:type="dxa"/>
              <w:left w:w="100" w:type="dxa"/>
              <w:right w:w="100" w:type="dxa"/>
            </w:tcMar>
          </w:tcPr>
          <w:p>
            <w:pPr>
              <w:spacing w:line="276" w:lineRule="auto"/>
              <w:jc w:val="left"/>
            </w:pPr>
            <w:r>
              <w:rPr>
                <w:b/>
                <w:sz w:val="19"/>
              </w:rPr>
              <w:t>UML</w:t>
            </w:r>
          </w:p>
        </w:tc>
        <w:tc>
          <w:tcPr>
            <w:tcW w:type="dxa" w:w="6480"/>
            <w:tcMar>
              <w:top w:w="60" w:type="dxa"/>
              <w:bottom w:w="60" w:type="dxa"/>
              <w:left w:w="100" w:type="dxa"/>
              <w:right w:w="100" w:type="dxa"/>
            </w:tcMar>
          </w:tcPr>
          <w:p>
            <w:pPr>
              <w:spacing w:line="276" w:lineRule="auto"/>
              <w:jc w:val="left"/>
            </w:pPr>
            <w:r>
              <w:rPr>
                <w:sz w:val="19"/>
              </w:rPr>
              <w:t>Unified Modeling Language</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8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w:t>
      </w:r>
    </w:p>
    <w:p>
      <w:pPr>
        <w:spacing w:line="360" w:lineRule="auto" w:after="120"/>
        <w:jc w:val="both"/>
      </w:pPr>
      <w:r>
        <w:t>Specifically, Lexguard aims to:</w:t>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pPr>
        <w:pStyle w:val="ListBullet"/>
        <w:spacing w:line="360" w:lineRule="auto"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pPr>
        <w:pStyle w:val="ListBullet"/>
        <w:spacing w:line="360" w:lineRule="auto"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pPr>
        <w:pStyle w:val="ListBullet"/>
        <w:spacing w:line="360" w:lineRule="auto" w:after="80"/>
        <w:jc w:val="both"/>
      </w:pPr>
      <w:r>
        <w:rPr>
          <w:b/>
        </w:rPr>
        <w:t xml:space="preserve">Automate Statutory Concordance: </w:t>
      </w:r>
      <w:r>
        <w:t>Provide real-time bidirectional concordance mapping between legacy statutes (IPC, Cr.P.C., Evidence Act) and newly implemented criminal laws (BNS 2023, BNSS 2023, BSA 2023).</w:t>
      </w:r>
    </w:p>
    <w:p>
      <w:pPr>
        <w:pStyle w:val="ListBullet"/>
        <w:spacing w:line="360" w:lineRule="auto"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pPr>
        <w:pStyle w:val="ListBullet"/>
        <w:spacing w:line="360" w:lineRule="auto" w:after="80"/>
        <w:jc w:val="both"/>
      </w:pPr>
      <w:r>
        <w:t>A zero-build frontend client engineered with Pure HTML5, Bootstrap 5, jQuery, Chart.js, and PDF.js, eliminating node_modules and webpack overhead while executing directly from any web browser.</w:t>
      </w:r>
    </w:p>
    <w:p>
      <w:pPr>
        <w:pStyle w:val="ListBullet"/>
        <w:spacing w:line="360" w:lineRule="auto" w:after="80"/>
        <w:jc w:val="both"/>
      </w:pPr>
      <w:r>
        <w:t>A zero-trust document ingestion engine that extracts legal metadata via PyMuPDF and Named Entity Recognition (NER), prevents duplicate uploads via SHA-256 digests, and queues cases for senior registrar review.</w:t>
      </w:r>
    </w:p>
    <w:p>
      <w:pPr>
        <w:pStyle w:val="ListBullet"/>
        <w:spacing w:line="360" w:lineRule="auto" w:after="80"/>
        <w:jc w:val="both"/>
      </w:pPr>
      <w:r>
        <w:t>An immutable, sequentially linked cryptographic audit ledger holding 989 verifiable blocks with SHA-256 linking, preventing retroactive modification of administrative logs.</w:t>
      </w:r>
    </w:p>
    <w:p>
      <w:pPr>
        <w:pStyle w:val="ListBullet"/>
        <w:spacing w:line="360" w:lineRule="auto" w:after="80"/>
        <w:jc w:val="both"/>
      </w:pPr>
      <w:r>
        <w:t>A hybrid precedent search engine combining dense InLegalBERT sentence embeddings with PostgreSQL 17 full-text search via Reciprocal Rank Fusion, indexing 208 landmark and High Court judgments.</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pPr>
        <w:pStyle w:val="ListBullet"/>
        <w:spacing w:line="360" w:lineRule="auto"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pPr>
        <w:pStyle w:val="ListBullet"/>
        <w:spacing w:line="360" w:lineRule="auto"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event incorporates the SHA-256 hash of its predecessor, establishing immutable non-repudiation.</w:t>
      </w:r>
    </w:p>
    <w:p>
      <w:pPr>
        <w:spacing w:line="360" w:lineRule="auto" w:after="120"/>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 in Table 2.1:</w:t>
      </w:r>
    </w:p>
    <w:p>
      <w:pPr>
        <w:spacing w:before="120" w:after="60"/>
      </w:pPr>
      <w:r>
        <w:rPr>
          <w:b/>
          <w:sz w:val="22"/>
        </w:rPr>
        <w:t>Table 2.1: Evaluation Metric Comparison: Existing vs. Proposed LexGuard</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Dual-layer SHA-256 byte verification (Browser Web Crypto API + Server streaming).</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holding 989+ verifiable blocks.</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matching; high rate of missed cases.</w:t>
            </w:r>
          </w:p>
        </w:tc>
        <w:tc>
          <w:tcPr>
            <w:tcW w:type="dxa" w:w="3312"/>
            <w:tcMar>
              <w:top w:w="100" w:type="dxa"/>
              <w:bottom w:w="100" w:type="dxa"/>
              <w:left w:w="120" w:type="dxa"/>
              <w:right w:w="120" w:type="dxa"/>
            </w:tcMar>
          </w:tcPr>
          <w:p>
            <w:pPr>
              <w:spacing w:line="288" w:lineRule="auto"/>
              <w:jc w:val="both"/>
            </w:pPr>
            <w:r>
              <w:rPr>
                <w:sz w:val="19"/>
              </w:rPr>
              <w:t>Reciprocal Rank Fusion (RRF): Dense InLegalBERT embeddings + PostgreSQL full-text search.</w:t>
            </w:r>
          </w:p>
        </w:tc>
      </w:tr>
      <w:tr>
        <w:tc>
          <w:tcPr>
            <w:tcW w:type="dxa" w:w="2880"/>
            <w:tcMar>
              <w:top w:w="100" w:type="dxa"/>
              <w:bottom w:w="100" w:type="dxa"/>
              <w:left w:w="120" w:type="dxa"/>
              <w:right w:w="120" w:type="dxa"/>
            </w:tcMar>
            <w:shd w:fill="F8FAFC"/>
          </w:tcPr>
          <w:p>
            <w:pPr>
              <w:spacing w:line="288" w:lineRule="auto"/>
              <w:jc w:val="left"/>
            </w:pPr>
            <w:r>
              <w:rPr>
                <w:b/>
                <w:sz w:val="19"/>
              </w:rPr>
              <w:t>Statutory Concordance</w:t>
            </w:r>
          </w:p>
        </w:tc>
        <w:tc>
          <w:tcPr>
            <w:tcW w:type="dxa" w:w="3168"/>
            <w:tcMar>
              <w:top w:w="100" w:type="dxa"/>
              <w:bottom w:w="100" w:type="dxa"/>
              <w:left w:w="120" w:type="dxa"/>
              <w:right w:w="120" w:type="dxa"/>
            </w:tcMar>
            <w:shd w:fill="F8FAFC"/>
          </w:tcPr>
          <w:p>
            <w:pPr>
              <w:spacing w:line="288" w:lineRule="auto"/>
              <w:jc w:val="both"/>
            </w:pPr>
            <w:r>
              <w:rPr>
                <w:sz w:val="19"/>
              </w:rPr>
              <w:t>Manual cross-referencing between old and new criminal laws.</w:t>
            </w:r>
          </w:p>
        </w:tc>
        <w:tc>
          <w:tcPr>
            <w:tcW w:type="dxa" w:w="3312"/>
            <w:tcMar>
              <w:top w:w="100" w:type="dxa"/>
              <w:bottom w:w="100" w:type="dxa"/>
              <w:left w:w="120" w:type="dxa"/>
              <w:right w:w="120" w:type="dxa"/>
            </w:tcMar>
            <w:shd w:fill="F8FAFC"/>
          </w:tcPr>
          <w:p>
            <w:pPr>
              <w:spacing w:line="288" w:lineRule="auto"/>
              <w:jc w:val="both"/>
            </w:pPr>
            <w:r>
              <w:rPr>
                <w:sz w:val="19"/>
              </w:rPr>
              <w:t>Automated bidirectional concordance mapping (IPC/Cr.P.C. &lt;-&gt; BNS/BNSS 2023).</w:t>
            </w:r>
          </w:p>
        </w:tc>
      </w:tr>
      <w:tr>
        <w:tc>
          <w:tcPr>
            <w:tcW w:type="dxa" w:w="2880"/>
            <w:tcMar>
              <w:top w:w="100" w:type="dxa"/>
              <w:bottom w:w="100" w:type="dxa"/>
              <w:left w:w="120" w:type="dxa"/>
              <w:right w:w="120" w:type="dxa"/>
            </w:tcMar>
          </w:tcPr>
          <w:p>
            <w:pPr>
              <w:spacing w:line="288" w:lineRule="auto"/>
              <w:jc w:val="left"/>
            </w:pPr>
            <w:r>
              <w:rPr>
                <w:b/>
                <w:sz w:val="19"/>
              </w:rPr>
              <w:t>AI Safety &amp; Hallucination</w:t>
            </w:r>
          </w:p>
        </w:tc>
        <w:tc>
          <w:tcPr>
            <w:tcW w:type="dxa" w:w="3168"/>
            <w:tcMar>
              <w:top w:w="100" w:type="dxa"/>
              <w:bottom w:w="100" w:type="dxa"/>
              <w:left w:w="120" w:type="dxa"/>
              <w:right w:w="120" w:type="dxa"/>
            </w:tcMar>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tcPr>
          <w:p>
            <w:pPr>
              <w:spacing w:line="288" w:lineRule="auto"/>
              <w:jc w:val="both"/>
            </w:pPr>
            <w:r>
              <w:rPr>
                <w:sz w:val="19"/>
              </w:rPr>
              <w:t>Zero-hallucination constraint; citations strictly mapped to 208 verified database records.</w:t>
            </w:r>
          </w:p>
        </w:tc>
      </w:tr>
      <w:tr>
        <w:tc>
          <w:tcPr>
            <w:tcW w:type="dxa" w:w="2880"/>
            <w:tcMar>
              <w:top w:w="100" w:type="dxa"/>
              <w:bottom w:w="100" w:type="dxa"/>
              <w:left w:w="120" w:type="dxa"/>
              <w:right w:w="120" w:type="dxa"/>
            </w:tcMar>
            <w:shd w:fill="F8FAFC"/>
          </w:tcPr>
          <w:p>
            <w:pPr>
              <w:spacing w:line="288" w:lineRule="auto"/>
              <w:jc w:val="left"/>
            </w:pPr>
            <w:r>
              <w:rPr>
                <w:b/>
                <w:sz w:val="19"/>
              </w:rPr>
              <w:t>Frontend Deployment</w:t>
            </w:r>
          </w:p>
        </w:tc>
        <w:tc>
          <w:tcPr>
            <w:tcW w:type="dxa" w:w="3168"/>
            <w:tcMar>
              <w:top w:w="100" w:type="dxa"/>
              <w:bottom w:w="100" w:type="dxa"/>
              <w:left w:w="120" w:type="dxa"/>
              <w:right w:w="120" w:type="dxa"/>
            </w:tcMar>
            <w:shd w:fill="F8FAFC"/>
          </w:tcPr>
          <w:p>
            <w:pPr>
              <w:spacing w:line="288" w:lineRule="auto"/>
              <w:jc w:val="both"/>
            </w:pPr>
            <w:r>
              <w:rPr>
                <w:sz w:val="19"/>
              </w:rPr>
              <w:t>Heavy build frameworks requiring Node.js, npm, and complex bundling.</w:t>
            </w:r>
          </w:p>
        </w:tc>
        <w:tc>
          <w:tcPr>
            <w:tcW w:type="dxa" w:w="3312"/>
            <w:tcMar>
              <w:top w:w="100" w:type="dxa"/>
              <w:bottom w:w="100" w:type="dxa"/>
              <w:left w:w="120" w:type="dxa"/>
              <w:right w:w="120" w:type="dxa"/>
            </w:tcMar>
            <w:shd w:fill="F8FAFC"/>
          </w:tcPr>
          <w:p>
            <w:pPr>
              <w:spacing w:line="288" w:lineRule="auto"/>
              <w:jc w:val="both"/>
            </w:pPr>
            <w:r>
              <w:rPr>
                <w:sz w:val="19"/>
              </w:rPr>
              <w:t>Zero-Build Pure HTML5, Bootstrap 5, jQuery, Chart.js, PDF.js running instantly in browser.</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Web Crypto API: </w:t>
      </w:r>
      <w:r>
        <w:t>A native, highly optimized W3C standard JavaScript API allowing browsers to compute SHA-256 hashes directly from client-side file byte arrays without server roundtrips.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BNS / BNSS 2023: </w:t>
      </w:r>
      <w:r>
        <w:t>Bharatiya Nyaya Sanhita and Bharatiya Nagarik Suraksha Sanhita, replacing the Indian Penal Code 1860 and Code of Criminal Procedure 1973.</w:t>
      </w:r>
    </w:p>
    <w:p>
      <w:pPr>
        <w:pStyle w:val="ListBullet"/>
        <w:spacing w:line="360" w:lineRule="auto" w:after="80"/>
        <w:jc w:val="both"/>
      </w:pPr>
      <w:r>
        <w:rPr>
          <w:b/>
        </w:rPr>
        <w:t xml:space="preserve">RRF (Reciprocal Rank Fusion): </w:t>
      </w:r>
      <w:r>
        <w:t>An algorithmic score fusion technique combining ranked lists from dense vector search and sparse full-text lexical search.</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spacing w:before="160" w:after="80"/>
      </w:pPr>
      <w:r>
        <w:rPr>
          <w:b/>
          <w:sz w:val="24"/>
        </w:rPr>
        <w:t>3.1.3 Product Perspective &amp; Functions</w:t>
      </w:r>
    </w:p>
    <w:p>
      <w:pPr>
        <w:spacing w:line="360" w:lineRule="auto" w:after="120"/>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registrar verification before publication.</w:t>
        <w:br/>
        <w:t>4. Dual Cryptographic Verification: On-demand dynamic re-computation of SHA-256 byte digests via Web Crypto API and server-side verification.</w:t>
        <w:br/>
        <w:t>5. Precedent Reciprocal Rank Fusion: Blended ranking combining dense InLegalBERT embeddings with PostgreSQL full-text search across 208 cases.</w:t>
        <w:br/>
        <w:t>6. Statutory Concordance Engine: Bidirectional concordance directory translating between IPC/Cr.P.C. and BNS/BNSS 2023.</w:t>
        <w:br/>
        <w:t>7. Anti-Hallucinatory Draft Studio: Real-time petition paragraph scanning that cross-references statutory gaps strictly against verified holdings.</w:t>
        <w:br/>
        <w:t>8.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zero-build interface in Pure HTML5, Bootstrap 5, jQuery, Chart.js, and PDF.js adhering to the Madras High Court Crimson (#991b1b) and White design palette.</w:t>
        <w:br/>
        <w:t>• Hardware Interface: x86-64 server or desktop with at least 8 GB RAM and 2.0 GHz multi-core processor.</w:t>
        <w:br/>
        <w:t>• Software Interface: Modern browser (Chromium, Firefox, Safari) supporting modern ES6+ standards, Web Crypto API, and canvas-based PDF.js rendering;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150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and visualized below.</w:t>
      </w:r>
    </w:p>
    <w:p>
      <w:pPr>
        <w:spacing w:before="200" w:after="80"/>
      </w:pPr>
      <w:r>
        <w:rPr>
          <w:b/>
        </w:rPr>
        <w:t>3.2.1 Use Case Diagram</w:t>
      </w:r>
    </w:p>
    <w:p>
      <w:pPr>
        <w:spacing w:line="360" w:lineRule="auto"/>
        <w:jc w:val="both"/>
      </w:pPr>
      <w:r>
        <w:t>Figure 3.1 illustrates the Use Case model detailing interactions across Court Staff, Senior Registrars, Advocates, Scholars, Public Users, and the automated Cryptographic Ledger System.</w:t>
      </w:r>
    </w:p>
    <w:p>
      <w:pPr>
        <w:spacing w:before="160" w:after="80"/>
        <w:jc w:val="center"/>
      </w:pPr>
      <w:r>
        <w:drawing>
          <wp:inline xmlns:a="http://schemas.openxmlformats.org/drawingml/2006/main" xmlns:pic="http://schemas.openxmlformats.org/drawingml/2006/picture">
            <wp:extent cx="5303520" cy="3467686"/>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303520" cy="3467686"/>
                    </a:xfrm>
                    <a:prstGeom prst="rect"/>
                  </pic:spPr>
                </pic:pic>
              </a:graphicData>
            </a:graphic>
          </wp:inline>
        </w:drawing>
      </w:r>
    </w:p>
    <w:p>
      <w:pPr>
        <w:spacing w:before="40" w:after="240"/>
        <w:jc w:val="center"/>
      </w:pPr>
      <w:r>
        <w:rPr>
          <w:b/>
          <w:color w:val="0F172A"/>
          <w:sz w:val="21"/>
        </w:rPr>
        <w:t>Figure 3.1: Use Case Diagram for Lexguard Legal Case Research System</w:t>
      </w:r>
    </w:p>
    <w:p>
      <w:pPr>
        <w:spacing w:before="200" w:after="80"/>
      </w:pPr>
      <w:r>
        <w:rPr>
          <w:b/>
        </w:rPr>
        <w:t>3.2.2 System Class Diagram</w:t>
      </w:r>
    </w:p>
    <w:p>
      <w:pPr>
        <w:spacing w:line="360" w:lineRule="auto"/>
        <w:jc w:val="both"/>
      </w:pPr>
      <w:r>
        <w:t>Figure 3.2 models the object-oriented structure of Lexguard, capturing core entities (User, Case, AuditLog, ApprovalQueue, Bookmark) alongside service operations.</w:t>
      </w:r>
    </w:p>
    <w:p>
      <w:pPr>
        <w:spacing w:before="160" w:after="80"/>
        <w:jc w:val="center"/>
      </w:pPr>
      <w:r>
        <w:drawing>
          <wp:inline xmlns:a="http://schemas.openxmlformats.org/drawingml/2006/main" xmlns:pic="http://schemas.openxmlformats.org/drawingml/2006/picture">
            <wp:extent cx="5303520" cy="3674582"/>
            <wp:docPr id="2" name="Picture 2"/>
            <wp:cNvGraphicFramePr>
              <a:graphicFrameLocks noChangeAspect="1"/>
            </wp:cNvGraphicFramePr>
            <a:graphic>
              <a:graphicData uri="http://schemas.openxmlformats.org/drawingml/2006/picture">
                <pic:pic>
                  <pic:nvPicPr>
                    <pic:cNvPr id="0" name="fig_3_2_class.png"/>
                    <pic:cNvPicPr/>
                  </pic:nvPicPr>
                  <pic:blipFill>
                    <a:blip r:embed="rId11"/>
                    <a:stretch>
                      <a:fillRect/>
                    </a:stretch>
                  </pic:blipFill>
                  <pic:spPr>
                    <a:xfrm>
                      <a:off x="0" y="0"/>
                      <a:ext cx="5303520" cy="3674582"/>
                    </a:xfrm>
                    <a:prstGeom prst="rect"/>
                  </pic:spPr>
                </pic:pic>
              </a:graphicData>
            </a:graphic>
          </wp:inline>
        </w:drawing>
      </w:r>
    </w:p>
    <w:p>
      <w:pPr>
        <w:spacing w:before="40" w:after="240"/>
        <w:jc w:val="center"/>
      </w:pPr>
      <w:r>
        <w:rPr>
          <w:b/>
          <w:color w:val="0F172A"/>
          <w:sz w:val="21"/>
        </w:rPr>
        <w:t>Figure 3.2: System Class Diagram &amp; Data Modeling Architecture</w:t>
      </w:r>
    </w:p>
    <w:p>
      <w:pPr>
        <w:spacing w:before="200" w:after="80"/>
      </w:pPr>
      <w:r>
        <w:rPr>
          <w:b/>
        </w:rPr>
        <w:t>3.2.3 Activity Diagram</w:t>
      </w:r>
    </w:p>
    <w:p>
      <w:pPr>
        <w:spacing w:line="360" w:lineRule="auto"/>
        <w:jc w:val="both"/>
      </w:pPr>
      <w:r>
        <w:t>Figure 3.3 depicts the end-to-end Activity flow governing document upload, duplicate hash detection, NER metadata extraction, senior approval, and hash-chained logging.</w:t>
      </w:r>
    </w:p>
    <w:p>
      <w:pPr>
        <w:spacing w:before="160" w:after="80"/>
        <w:jc w:val="center"/>
      </w:pPr>
      <w:r>
        <w:drawing>
          <wp:inline xmlns:a="http://schemas.openxmlformats.org/drawingml/2006/main" xmlns:pic="http://schemas.openxmlformats.org/drawingml/2006/picture">
            <wp:extent cx="5303520" cy="6308397"/>
            <wp:docPr id="3" name="Picture 3"/>
            <wp:cNvGraphicFramePr>
              <a:graphicFrameLocks noChangeAspect="1"/>
            </wp:cNvGraphicFramePr>
            <a:graphic>
              <a:graphicData uri="http://schemas.openxmlformats.org/drawingml/2006/picture">
                <pic:pic>
                  <pic:nvPicPr>
                    <pic:cNvPr id="0" name="fig_3_2_activity.png"/>
                    <pic:cNvPicPr/>
                  </pic:nvPicPr>
                  <pic:blipFill>
                    <a:blip r:embed="rId12"/>
                    <a:stretch>
                      <a:fillRect/>
                    </a:stretch>
                  </pic:blipFill>
                  <pic:spPr>
                    <a:xfrm>
                      <a:off x="0" y="0"/>
                      <a:ext cx="5303520" cy="6308397"/>
                    </a:xfrm>
                    <a:prstGeom prst="rect"/>
                  </pic:spPr>
                </pic:pic>
              </a:graphicData>
            </a:graphic>
          </wp:inline>
        </w:drawing>
      </w:r>
    </w:p>
    <w:p>
      <w:pPr>
        <w:spacing w:before="40" w:after="240"/>
        <w:jc w:val="center"/>
      </w:pPr>
      <w:r>
        <w:rPr>
          <w:b/>
          <w:color w:val="0F172A"/>
          <w:sz w:val="21"/>
        </w:rPr>
        <w:t>Figure 3.3: Activity Diagram for Document Ingestion and Integrity Verification</w:t>
      </w:r>
    </w:p>
    <w:p>
      <w:pPr>
        <w:spacing w:before="200" w:after="80"/>
      </w:pPr>
      <w:r>
        <w:rPr>
          <w:b/>
        </w:rPr>
        <w:t>3.2.4 State Diagram</w:t>
      </w:r>
    </w:p>
    <w:p>
      <w:pPr>
        <w:spacing w:line="360" w:lineRule="auto"/>
        <w:jc w:val="both"/>
      </w:pPr>
      <w:r>
        <w:t>Figure 3.4 models the document lifecycle states from initial ingestion through approval, publication, and real-time quarantine alerts.</w:t>
      </w:r>
    </w:p>
    <w:p>
      <w:pPr>
        <w:spacing w:before="160" w:after="80"/>
        <w:jc w:val="center"/>
      </w:pPr>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_3_3_state.png"/>
                    <pic:cNvPicPr/>
                  </pic:nvPicPr>
                  <pic:blipFill>
                    <a:blip r:embed="rId13"/>
                    <a:stretch>
                      <a:fillRect/>
                    </a:stretch>
                  </pic:blipFill>
                  <pic:spPr>
                    <a:xfrm>
                      <a:off x="0" y="0"/>
                      <a:ext cx="5303520" cy="3907857"/>
                    </a:xfrm>
                    <a:prstGeom prst="rect"/>
                  </pic:spPr>
                </pic:pic>
              </a:graphicData>
            </a:graphic>
          </wp:inline>
        </w:drawing>
      </w:r>
    </w:p>
    <w:p>
      <w:pPr>
        <w:spacing w:before="40" w:after="240"/>
        <w:jc w:val="center"/>
      </w:pPr>
      <w:r>
        <w:rPr>
          <w:b/>
          <w:color w:val="0F172A"/>
          <w:sz w:val="21"/>
        </w:rPr>
        <w:t>Figure 3.4: State Diagram for Case Document Status Lifecycle</w:t>
      </w:r>
    </w:p>
    <w:p>
      <w:pPr>
        <w:spacing w:before="200" w:after="80"/>
      </w:pPr>
      <w:r>
        <w:rPr>
          <w:b/>
        </w:rPr>
        <w:t>3.2.5 Sequence Diagram</w:t>
      </w:r>
    </w:p>
    <w:p>
      <w:pPr>
        <w:spacing w:line="360" w:lineRule="auto"/>
        <w:jc w:val="both"/>
      </w:pPr>
      <w:r>
        <w:t>Figure 3.5 captures the sequential message exchanges between the Zero-Build Client, FastAPI Gateway, AI Service, and PostgreSQL Ledger.</w:t>
      </w:r>
    </w:p>
    <w:p>
      <w:pPr>
        <w:spacing w:before="160" w:after="80"/>
        <w:jc w:val="center"/>
      </w:pPr>
      <w:r>
        <w:drawing>
          <wp:inline xmlns:a="http://schemas.openxmlformats.org/drawingml/2006/main" xmlns:pic="http://schemas.openxmlformats.org/drawingml/2006/picture">
            <wp:extent cx="5303520" cy="3689405"/>
            <wp:docPr id="5" name="Picture 5"/>
            <wp:cNvGraphicFramePr>
              <a:graphicFrameLocks noChangeAspect="1"/>
            </wp:cNvGraphicFramePr>
            <a:graphic>
              <a:graphicData uri="http://schemas.openxmlformats.org/drawingml/2006/picture">
                <pic:pic>
                  <pic:nvPicPr>
                    <pic:cNvPr id="0" name="fig_3_4_sequence.png"/>
                    <pic:cNvPicPr/>
                  </pic:nvPicPr>
                  <pic:blipFill>
                    <a:blip r:embed="rId14"/>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3.5: Sequence Diagram for Precedent Search and Verification Flow</w:t>
      </w:r>
    </w:p>
    <w:p>
      <w:pPr>
        <w:spacing w:before="200" w:after="80"/>
      </w:pPr>
      <w:r>
        <w:rPr>
          <w:b/>
        </w:rPr>
        <w:t>3.2.6 Entity Relationship (ER) Diagram</w:t>
      </w:r>
    </w:p>
    <w:p>
      <w:pPr>
        <w:spacing w:line="360" w:lineRule="auto"/>
        <w:jc w:val="both"/>
      </w:pPr>
      <w:r>
        <w:t>Figure 3.6 articulates the relational database schema, demonstrating key constraints and foreign-key mappings between users, cases, audit logs, and approval queues.</w:t>
      </w:r>
    </w:p>
    <w:p>
      <w:pPr>
        <w:spacing w:before="160" w:after="80"/>
        <w:jc w:val="center"/>
      </w:pPr>
      <w:r>
        <w:drawing>
          <wp:inline xmlns:a="http://schemas.openxmlformats.org/drawingml/2006/main" xmlns:pic="http://schemas.openxmlformats.org/drawingml/2006/picture">
            <wp:extent cx="5303520" cy="3899647"/>
            <wp:docPr id="6" name="Picture 6"/>
            <wp:cNvGraphicFramePr>
              <a:graphicFrameLocks noChangeAspect="1"/>
            </wp:cNvGraphicFramePr>
            <a:graphic>
              <a:graphicData uri="http://schemas.openxmlformats.org/drawingml/2006/picture">
                <pic:pic>
                  <pic:nvPicPr>
                    <pic:cNvPr id="0" name="fig_3_5_er.png"/>
                    <pic:cNvPicPr/>
                  </pic:nvPicPr>
                  <pic:blipFill>
                    <a:blip r:embed="rId15"/>
                    <a:stretch>
                      <a:fillRect/>
                    </a:stretch>
                  </pic:blipFill>
                  <pic:spPr>
                    <a:xfrm>
                      <a:off x="0" y="0"/>
                      <a:ext cx="5303520" cy="3899647"/>
                    </a:xfrm>
                    <a:prstGeom prst="rect"/>
                  </pic:spPr>
                </pic:pic>
              </a:graphicData>
            </a:graphic>
          </wp:inline>
        </w:drawing>
      </w:r>
    </w:p>
    <w:p>
      <w:pPr>
        <w:spacing w:before="40" w:after="240"/>
        <w:jc w:val="center"/>
      </w:pPr>
      <w:r>
        <w:rPr>
          <w:b/>
          <w:color w:val="0F172A"/>
          <w:sz w:val="21"/>
        </w:rPr>
        <w:t>Figure 3.6: Entity Relationship (ER) Diagram for Lexguard Database</w:t>
      </w:r>
    </w:p>
    <w:p>
      <w:pPr>
        <w:spacing w:before="200" w:after="80"/>
      </w:pPr>
      <w:r>
        <w:rPr>
          <w:b/>
        </w:rPr>
        <w:t>3.2.7 Data Flow Diagram (DFD)</w:t>
      </w:r>
    </w:p>
    <w:p>
      <w:pPr>
        <w:spacing w:line="360" w:lineRule="auto"/>
        <w:jc w:val="both"/>
      </w:pPr>
      <w:r>
        <w:t>Figure 3.7 presents the Level 0 Context Diagram and Level 1 Functional Decomposition illustrating secure data boundaries.</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3_6_dfd.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b/>
          <w:color w:val="0F172A"/>
          <w:sz w:val="21"/>
        </w:rPr>
        <w:t>Figure 3.7: Data Flow Diagram (Level 0 and Level 1) for Lexguard</w:t>
      </w:r>
    </w:p>
    <w:p>
      <w:pPr>
        <w:spacing w:before="200" w:after="80"/>
      </w:pPr>
      <w:r>
        <w:rPr>
          <w:b/>
        </w:rPr>
        <w:t>3.2.8 System Architecture Diagram</w:t>
      </w:r>
    </w:p>
    <w:p>
      <w:pPr>
        <w:spacing w:line="360" w:lineRule="auto"/>
        <w:jc w:val="both"/>
      </w:pPr>
      <w:r>
        <w:t>Figure 3.8 depicts the layered, decoupled architecture isolating client presentation, FastAPI gateway security, AI inference microservice, and relational persistence.</w:t>
      </w:r>
    </w:p>
    <w:p>
      <w:pPr>
        <w:spacing w:before="160" w:after="8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fig_3_7_architecture.png"/>
                    <pic:cNvPicPr/>
                  </pic:nvPicPr>
                  <pic:blipFill>
                    <a:blip r:embed="rId17"/>
                    <a:stretch>
                      <a:fillRect/>
                    </a:stretch>
                  </pic:blipFill>
                  <pic:spPr>
                    <a:xfrm>
                      <a:off x="0" y="0"/>
                      <a:ext cx="5303520" cy="3606394"/>
                    </a:xfrm>
                    <a:prstGeom prst="rect"/>
                  </pic:spPr>
                </pic:pic>
              </a:graphicData>
            </a:graphic>
          </wp:inline>
        </w:drawing>
      </w:r>
    </w:p>
    <w:p>
      <w:pPr>
        <w:spacing w:before="40" w:after="240"/>
        <w:jc w:val="center"/>
      </w:pPr>
      <w:r>
        <w:rPr>
          <w:b/>
          <w:color w:val="0F172A"/>
          <w:sz w:val="21"/>
        </w:rPr>
        <w:t>Figure 3.8: System Architecture &amp; Component Diagram of Decoupled AI Services</w:t>
      </w:r>
    </w:p>
    <w:p>
      <w:pPr>
        <w:spacing w:before="200" w:after="80"/>
      </w:pPr>
      <w:r>
        <w:rPr>
          <w:b/>
        </w:rPr>
        <w:t>3.2.9 Deployment Diagram</w:t>
      </w:r>
    </w:p>
    <w:p>
      <w:pPr>
        <w:spacing w:line="360" w:lineRule="auto"/>
        <w:jc w:val="both"/>
      </w:pPr>
      <w:r>
        <w:t>Figure 3.9 illustrates the physical network deployment topology across High Court client browser workstations, FastAPI application server, and isolated PostgreSQL database clusters.</w:t>
      </w:r>
    </w:p>
    <w:p>
      <w:pPr>
        <w:spacing w:before="160" w:after="80"/>
        <w:jc w:val="center"/>
      </w:pPr>
      <w:r>
        <w:drawing>
          <wp:inline xmlns:a="http://schemas.openxmlformats.org/drawingml/2006/main" xmlns:pic="http://schemas.openxmlformats.org/drawingml/2006/picture">
            <wp:extent cx="5303520" cy="3689405"/>
            <wp:docPr id="9" name="Picture 9"/>
            <wp:cNvGraphicFramePr>
              <a:graphicFrameLocks noChangeAspect="1"/>
            </wp:cNvGraphicFramePr>
            <a:graphic>
              <a:graphicData uri="http://schemas.openxmlformats.org/drawingml/2006/picture">
                <pic:pic>
                  <pic:nvPicPr>
                    <pic:cNvPr id="0" name="fig_3_8_deployment.png"/>
                    <pic:cNvPicPr/>
                  </pic:nvPicPr>
                  <pic:blipFill>
                    <a:blip r:embed="rId18"/>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3.9: Physical Deployment Diagram for Court Intranet Infrastructure</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(Zero-Build Frontend): Built with Pure HTML5, Bootstrap 5, jQuery, Chart.js for analytics, and PDF.js for secure canvas-based document rendering without npm/webpack compilation overhead. Adheres to the High Court Red and White design system.</w:t>
        <w:br/>
        <w:t>2. Gateway &amp; Security Middleware Tier: Implements OWASP security headers, double-submit CSRF enforcement, and dependency injection guards for role authentication.</w:t>
        <w:br/>
        <w:t>3. Cryptographic &amp; Audit Tier: Orchestrates client-side Web Crypto API and 64-KB chunked SHA-256 byte hashing, maintaining the 989-block sequentially verified hash-chained ledger.</w:t>
        <w:br/>
        <w:t>4. NLP &amp; Vector Search Tier: Manages domain-adapted InLegalBERT embeddings, Reciprocal Rank Fusion (RRF), and the BNS/BNSS 2023 concordance engine.</w:t>
        <w:br/>
        <w:t>5. Storage &amp; Persistence Tier: Combines PostgreSQL 17 relational and full-text vector indexing with isolated physical file storage for 208 precedent judgments.</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 BNS 2023)</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r>
    </w:p>
    <w:p>
      <w:pPr>
        <w:spacing w:before="160" w:after="8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3.10: User Login and Secure Role-Based Authentication Interface</w:t>
      </w:r>
    </w:p>
    <w:p>
      <w:pPr>
        <w:spacing w:line="360" w:lineRule="auto" w:after="120"/>
        <w:jc w:val="both"/>
      </w:pPr>
      <w:r>
        <w:t>• Advocate Registration &amp; Bar ID Verification: Specialized enrolment flow capturing advocate credentials, bar council registration, and security credentials.</w:t>
      </w:r>
    </w:p>
    <w:p>
      <w:pPr>
        <w:spacing w:before="160" w:after="8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html_02_register.png"/>
                    <pic:cNvPicPr/>
                  </pic:nvPicPr>
                  <pic:blipFill>
                    <a:blip r:embed="rId2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3.11: Advocate User Registration &amp; Bar Council Verification Interface</w:t>
      </w:r>
    </w:p>
    <w:p>
      <w:pPr>
        <w:spacing w:line="360" w:lineRule="auto" w:after="120"/>
        <w:jc w:val="both"/>
      </w:pPr>
      <w:r>
        <w:t>• Senior Staff CIS Review Workstation: Split-screen interface presenting extracted metadata beside an embedded PDF viewer with one-click Approve/Reject action triggers.</w:t>
      </w:r>
    </w:p>
    <w:p>
      <w:pPr>
        <w:spacing w:before="160" w:after="8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html_06_case_review_split.png"/>
                    <pic:cNvPicPr/>
                  </pic:nvPicPr>
                  <pic:blipFill>
                    <a:blip r:embed="rId21"/>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3.12: Senior Court Staff Approval Queue and Metadata Verification Panel</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across the 989-block chain.</w:t>
      </w:r>
    </w:p>
    <w:p>
      <w:pPr>
        <w:spacing w:before="160" w:after="80"/>
      </w:pPr>
      <w:r>
        <w:rPr>
          <w:b/>
          <w:sz w:val="24"/>
        </w:rPr>
        <w:t>3.6.3 Precedent Reciprocal Rank Fusion (RRF) Formulation</w:t>
      </w:r>
    </w:p>
    <w:p>
      <w:pPr>
        <w:spacing w:line="312" w:lineRule="auto" w:after="120"/>
        <w:jc w:val="both"/>
      </w:pPr>
      <w:r>
        <w:t>To rank case precedents across dense semantic embeddings and sparse full-text search, Lexguard implements Reciprocal Rank Fusion:</w:t>
        <w:br/>
        <w:br/>
        <w:t>RRF_Score(d) = SUM_{m in M} [ 1 / (k + rank_m(d)) ]</w:t>
        <w:br/>
        <w:br/>
        <w:t>Where:</w:t>
        <w:br/>
        <w:t>• M = {Dense InLegalBERT Semantic Retrieval, PostgreSQL tsvector Full-Text Retrieval}</w:t>
        <w:br/>
        <w:t>• rank_m(d) is the ordinal rank position of judgment d in ranking system m</w:t>
        <w:br/>
        <w:t>• k is the smoothing constant (empirically set to 60)</w:t>
        <w:br/>
        <w:br/>
        <w:t>This guarantees robust retrieval when either semantic concepts or exact statutory sections dominate the user query.</w:t>
      </w:r>
    </w:p>
    <w:p>
      <w:r>
        <w:br w:type="page"/>
      </w:r>
    </w:p>
    <w:p>
      <w:pPr>
        <w:spacing w:before="240" w:after="80"/>
        <w:jc w:val="center"/>
      </w:pPr>
      <w:r>
        <w:rPr>
          <w:b/>
          <w:sz w:val="32"/>
        </w:rPr>
        <w:t>CHAPTER 4</w:t>
        <w:br/>
        <w:t>SYSTEM IMPLEMENTATION</w:t>
      </w:r>
    </w:p>
    <w:p>
      <w:pPr>
        <w:spacing w:before="280" w:after="80"/>
      </w:pPr>
      <w:r>
        <w:rPr>
          <w:b/>
          <w:sz w:val="26"/>
        </w:rPr>
        <w:t>4.1 Authentication &amp; Authorized Portal Implementation</w:t>
      </w:r>
    </w:p>
    <w:p>
      <w:pPr>
        <w:spacing w:line="360" w:lineRule="auto" w:after="120"/>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pPr>
        <w:spacing w:before="160" w:after="8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html_00_landing.png"/>
                    <pic:cNvPicPr/>
                  </pic:nvPicPr>
                  <pic:blipFill>
                    <a:blip r:embed="rId22"/>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4.1: High Court Authorized Portal Landing Interface &amp; 10-Service Grid</w:t>
      </w:r>
    </w:p>
    <w:p>
      <w:pPr>
        <w:spacing w:line="360" w:lineRule="auto" w:after="120"/>
        <w:jc w:val="both"/>
      </w:pPr>
      <w:r>
        <w:t>In addition to core research portals, Lexguard integrates the Madras High Court Daily Cause List Tracker, as displayed in Figure 4.2. Advocates can monitor courtroom serial numbers, bench compositions, and real-time hearing transitions.</w:t>
      </w:r>
    </w:p>
    <w:p>
      <w:pPr>
        <w:spacing w:before="160" w:after="8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html_11_cause_list.png"/>
                    <pic:cNvPicPr/>
                  </pic:nvPicPr>
                  <pic:blipFill>
                    <a:blip r:embed="rId23"/>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4.2: Madras High Court Daily Cause List Live Hearing Status Tracker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react_13_case_upload.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b/>
          <w:color w:val="0F172A"/>
          <w:sz w:val="21"/>
        </w:rPr>
        <w:t>Figure 4.3: Case Ingestion Desk with Automated SHA-256 Hashing Pipeline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pPr>
        <w:spacing w:line="360" w:lineRule="auto" w:after="120"/>
        <w:jc w:val="both"/>
      </w:pPr>
      <w:r>
        <w:t>To ensure legal relevance across legislative changes, Lexguard features a dedicated Statutory Acts &amp; BNS Concordance Explorer (Figure 4.4), automatically bridging pre-existing statutory provisions with newly enacted laws.</w:t>
      </w:r>
    </w:p>
    <w:p>
      <w:pPr>
        <w:spacing w:before="160" w:after="80"/>
        <w:jc w:val="center"/>
      </w:pPr>
      <w:r>
        <w:drawing>
          <wp:inline xmlns:a="http://schemas.openxmlformats.org/drawingml/2006/main" xmlns:pic="http://schemas.openxmlformats.org/drawingml/2006/picture">
            <wp:extent cx="5303520" cy="3388360"/>
            <wp:docPr id="16" name="Picture 16"/>
            <wp:cNvGraphicFramePr>
              <a:graphicFrameLocks noChangeAspect="1"/>
            </wp:cNvGraphicFramePr>
            <a:graphic>
              <a:graphicData uri="http://schemas.openxmlformats.org/drawingml/2006/picture">
                <pic:pic>
                  <pic:nvPicPr>
                    <pic:cNvPr id="0" name="html_09_acts_explorer.png"/>
                    <pic:cNvPicPr/>
                  </pic:nvPicPr>
                  <pic:blipFill>
                    <a:blip r:embed="rId25"/>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4.4: Statutory Acts Directory &amp; BNS 2023 Concordance Explorer</w:t>
      </w:r>
    </w:p>
    <w:p>
      <w:pPr>
        <w:spacing w:before="280" w:after="80"/>
      </w:pPr>
      <w:r>
        <w:rPr>
          <w:b/>
          <w:sz w:val="26"/>
        </w:rPr>
        <w:t>4.3 Precedent Search &amp; Reciprocal Rank Fusion Implementation</w:t>
      </w:r>
    </w:p>
    <w:p>
      <w:pPr>
        <w:spacing w:line="360" w:lineRule="auto" w:after="120"/>
        <w:jc w:val="both"/>
      </w:pPr>
      <w:r>
        <w:t>The precedent retrieval engine in Lexguard resolves the vocabulary mismatch problem by executing hybrid Reciprocal Rank Fusion. When an advocate inputs a query (e.g., 'anticipatory bail in economic offences and forgery'):</w:t>
        <w:br/>
        <w:t>1. The query text is dispatched to the decoupled AI microservice, which computes a 384-dimensional dense semantic vector representation using InLegalBERT.</w:t>
        <w:br/>
        <w:t>2. The FastAPI backend queries PostgreSQL 17 using cosine distance while simultaneously running full-text search across tsvector columns.</w:t>
        <w:br/>
        <w:t>3. Reciprocal Rank Fusion (RRF) with smoothing constant k=60 merges both ranked result lists across 208 precedent judgments.</w:t>
        <w:br/>
        <w:t>4. Cases are returned as JSON payload containing matched statutory section highlights, ratio decidendi, concordance mappings, and verification status (Figure 4.5).</w:t>
      </w:r>
    </w:p>
    <w:p>
      <w:pPr>
        <w:spacing w:before="160" w:after="80"/>
        <w:jc w:val="center"/>
      </w:pPr>
      <w:r>
        <w:drawing>
          <wp:inline xmlns:a="http://schemas.openxmlformats.org/drawingml/2006/main" xmlns:pic="http://schemas.openxmlformats.org/drawingml/2006/picture">
            <wp:extent cx="5303520" cy="3388360"/>
            <wp:docPr id="17" name="Picture 17"/>
            <wp:cNvGraphicFramePr>
              <a:graphicFrameLocks noChangeAspect="1"/>
            </wp:cNvGraphicFramePr>
            <a:graphic>
              <a:graphicData uri="http://schemas.openxmlformats.org/drawingml/2006/picture">
                <pic:pic>
                  <pic:nvPicPr>
                    <pic:cNvPr id="0" name="html_03_search_results.png"/>
                    <pic:cNvPicPr/>
                  </pic:nvPicPr>
                  <pic:blipFill>
                    <a:blip r:embed="rId26"/>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4.5: Precedent Hybrid Search and Reciprocal Rank Fusion Results View</w:t>
      </w:r>
    </w:p>
    <w:p>
      <w:pPr>
        <w:spacing w:before="280" w:after="80"/>
      </w:pPr>
      <w:r>
        <w:rPr>
          <w:b/>
          <w:sz w:val="26"/>
        </w:rPr>
        <w:t>4.4 Case Review &amp; CIS Workstation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b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dual-layer document verification. When an advocate or scholar opens a judgment at '/case-viewer.html' (Figure 4.6):</w:t>
        <w:br/>
        <w:t>1. The backend reads the stored physical PDF binary stream from disk storage.</w:t>
        <w:br/>
        <w:t>2. The SHA-256 byte digest is dynamically computed in real-time on the server.</w:t>
        <w:br/>
        <w:t>3. Concurrently, the browser's native Web Crypto API computes the SHA-256 digest on downloaded bytes directly on the client.</w:t>
        <w:br/>
        <w:t>4. Both hashes are validated against the authoritative 'file_hash' recorded during registrar approval.</w:t>
        <w:br/>
        <w:t>5. If identical, the document is served with verified: true, causing the UI to render a green cryptographic badge.</w:t>
        <w:br/>
        <w:t>6. If a single byte has been manipulated on disk, the system halts PDF serving, returns HTTP 422 with quarantined: true, records an alert in the audit ledger, and renders an alarming red tamper alert banner.</w:t>
      </w:r>
    </w:p>
    <w:p>
      <w:pPr>
        <w:spacing w:before="160" w:after="80"/>
        <w:jc w:val="center"/>
      </w:pPr>
      <w:r>
        <w:drawing>
          <wp:inline xmlns:a="http://schemas.openxmlformats.org/drawingml/2006/main" xmlns:pic="http://schemas.openxmlformats.org/drawingml/2006/picture">
            <wp:extent cx="5303520" cy="3388360"/>
            <wp:docPr id="18" name="Picture 18"/>
            <wp:cNvGraphicFramePr>
              <a:graphicFrameLocks noChangeAspect="1"/>
            </wp:cNvGraphicFramePr>
            <a:graphic>
              <a:graphicData uri="http://schemas.openxmlformats.org/drawingml/2006/picture">
                <pic:pic>
                  <pic:nvPicPr>
                    <pic:cNvPr id="0" name="html_05_case_viewer_pdf.png"/>
                    <pic:cNvPicPr/>
                  </pic:nvPicPr>
                  <pic:blipFill>
                    <a:blip r:embed="rId27"/>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4.6: Case Viewer with Canvas PDF Rendering and Live SHA-256 Badge</w:t>
      </w:r>
    </w:p>
    <w:p>
      <w:pPr>
        <w:spacing w:line="360" w:lineRule="auto" w:after="120"/>
        <w:jc w:val="both"/>
      </w:pPr>
      <w:r>
        <w:t>Furthermore, Lexguard provides an interactive on-demand drag-and-drop document tamper verification desk (Figure 4.7) allowing advocates to test external judgment copies against official cryptographic hashes without file upload overhead.</w:t>
      </w:r>
    </w:p>
    <w:p>
      <w:pPr>
        <w:spacing w:before="160" w:after="80"/>
        <w:jc w:val="center"/>
      </w:pPr>
      <w:r>
        <w:drawing>
          <wp:inline xmlns:a="http://schemas.openxmlformats.org/drawingml/2006/main" xmlns:pic="http://schemas.openxmlformats.org/drawingml/2006/picture">
            <wp:extent cx="5303520" cy="3388360"/>
            <wp:docPr id="19" name="Picture 19"/>
            <wp:cNvGraphicFramePr>
              <a:graphicFrameLocks noChangeAspect="1"/>
            </wp:cNvGraphicFramePr>
            <a:graphic>
              <a:graphicData uri="http://schemas.openxmlformats.org/drawingml/2006/picture">
                <pic:pic>
                  <pic:nvPicPr>
                    <pic:cNvPr id="0" name="html_10_verify_tamper.png"/>
                    <pic:cNvPicPr/>
                  </pic:nvPicPr>
                  <pic:blipFill>
                    <a:blip r:embed="rId28"/>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4.7: On-Demand Cryptographic Tamper Verification Engine</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Studio &amp; Precedent Comparator Implementation</w:t>
      </w:r>
    </w:p>
    <w:p>
      <w:pPr>
        <w:spacing w:line="360" w:lineRule="auto" w:after="120"/>
        <w:jc w:val="both"/>
      </w:pPr>
      <w:r>
        <w:t>The AI Judgment Draft Studio operates as a domain-bounded legal co-pilot (Figure 4.8). When an advocate drafts a petition, the system decomposes text into discrete legal grounds, extracts invoked statutory sections (e.g., Sec 439 CrPC or Sec 483 BNSS 2023), and cross-matches them against the 208-case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pPr>
        <w:spacing w:before="160" w:after="80"/>
        <w:jc w:val="center"/>
      </w:pPr>
      <w:r>
        <w:drawing>
          <wp:inline xmlns:a="http://schemas.openxmlformats.org/drawingml/2006/main" xmlns:pic="http://schemas.openxmlformats.org/drawingml/2006/picture">
            <wp:extent cx="5303520" cy="3388360"/>
            <wp:docPr id="20" name="Picture 20"/>
            <wp:cNvGraphicFramePr>
              <a:graphicFrameLocks noChangeAspect="1"/>
            </wp:cNvGraphicFramePr>
            <a:graphic>
              <a:graphicData uri="http://schemas.openxmlformats.org/drawingml/2006/picture">
                <pic:pic>
                  <pic:nvPicPr>
                    <pic:cNvPr id="0" name="html_08_draft_assistant.png"/>
                    <pic:cNvPicPr/>
                  </pic:nvPicPr>
                  <pic:blipFill>
                    <a:blip r:embed="rId2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4.8: AI Judgment Draft Studio with Real-Time Argument Gap Analysis</w:t>
      </w:r>
    </w:p>
    <w:p>
      <w:pPr>
        <w:spacing w:line="360" w:lineRule="auto" w:after="120"/>
        <w:jc w:val="both"/>
      </w:pPr>
      <w:r>
        <w:t>In parallel, the Precedent Comparator renders up to four selected cases in an interactive side-by-side grid (Figure 4.9), aligning bench strength, legal issues, statutes, and outcomes for rigorous comparative analysis.</w:t>
      </w:r>
    </w:p>
    <w:p>
      <w:pPr>
        <w:spacing w:before="160" w:after="80"/>
        <w:jc w:val="center"/>
      </w:pPr>
      <w:r>
        <w:drawing>
          <wp:inline xmlns:a="http://schemas.openxmlformats.org/drawingml/2006/main" xmlns:pic="http://schemas.openxmlformats.org/drawingml/2006/picture">
            <wp:extent cx="5303520" cy="3388360"/>
            <wp:docPr id="21" name="Picture 21"/>
            <wp:cNvGraphicFramePr>
              <a:graphicFrameLocks noChangeAspect="1"/>
            </wp:cNvGraphicFramePr>
            <a:graphic>
              <a:graphicData uri="http://schemas.openxmlformats.org/drawingml/2006/picture">
                <pic:pic>
                  <pic:nvPicPr>
                    <pic:cNvPr id="0" name="html_07_case_compare_tray.png"/>
                    <pic:cNvPicPr/>
                  </pic:nvPicPr>
                  <pic:blipFill>
                    <a:blip r:embed="rId3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4.9: Interactive Multi-Precedent Comparison Matrix &amp; Concordance Tray</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&amp; RRF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RRF score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pPr>
        <w:spacing w:before="160" w:after="80"/>
        <w:jc w:val="center"/>
      </w:pPr>
      <w:r>
        <w:drawing>
          <wp:inline xmlns:a="http://schemas.openxmlformats.org/drawingml/2006/main" xmlns:pic="http://schemas.openxmlformats.org/drawingml/2006/picture">
            <wp:extent cx="5303520" cy="3388360"/>
            <wp:docPr id="22" name="Picture 22"/>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5.1: Cryptographic Audit Ledger Inspector with Hash-Chained Verification</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pPr>
        <w:spacing w:line="360" w:lineRule="auto" w:after="120"/>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 Tooling: </w:t>
      </w:r>
      <w:r>
        <w:t>Zero-Build (Pure HTML5, Bootstrap 5, jQuery, Chart.js, PDF.js, Native Web Crypto API)</w:t>
      </w:r>
    </w:p>
    <w:p>
      <w:pPr>
        <w:pStyle w:val="ListBullet"/>
        <w:spacing w:line="336" w:lineRule="auto" w:after="60"/>
        <w:jc w:val="both"/>
      </w:pPr>
      <w:r>
        <w:rPr>
          <w:b/>
        </w:rPr>
        <w:t xml:space="preserve">Database Systems: </w:t>
      </w:r>
      <w:r>
        <w:t>PostgreSQL 17 with full-text search vectors and relational integrity</w:t>
      </w:r>
    </w:p>
    <w:p>
      <w:pPr>
        <w:pStyle w:val="ListBullet"/>
        <w:spacing w:line="336" w:lineRule="auto" w:after="60"/>
        <w:jc w:val="both"/>
      </w:pPr>
      <w:r>
        <w:rPr>
          <w:b/>
        </w:rPr>
        <w:t xml:space="preserve">Key Python Libraries: </w:t>
      </w:r>
      <w:r>
        <w:t>SQLAlchemy 2.0+, Pydantic v2, PyMuPDF (fitz), InLegalBERT /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208-Corpus Metadata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W3C Web Cryptography Working Group, "Web Cryptography API - W3C Recommendation," World Wide Web Consortium, 2017. [Online]. Available: https://www.w3.org/TR/WebCryptoAPI/</w:t>
      </w:r>
    </w:p>
    <w:p>
      <w:pPr>
        <w:spacing w:line="312" w:lineRule="auto" w:after="120"/>
        <w:jc w:val="both"/>
      </w:pPr>
      <w:r>
        <w:t>[10] PostgreSQL Global Development Group, "PostgreSQL 17 Documentation: Full Text Search &amp; Relational Integrity," 2024. [Online]. Available: https://www.postgresql.org/docs/17/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