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
        <w:tblW w:w="4928" w:type="pct"/>
        <w:jc w:val="center"/>
        <w:tblLayout w:type="fixed"/>
        <w:tblLook w:val="0060" w:firstRow="1" w:lastRow="1" w:firstColumn="0" w:lastColumn="0" w:noHBand="0" w:noVBand="0"/>
      </w:tblPr>
      <w:tblGrid>
        <w:gridCol w:w="4575"/>
        <w:gridCol w:w="2410"/>
        <w:gridCol w:w="2453"/>
      </w:tblGrid>
      <w:tr w:rsidR="00114498" w14:paraId="6F3FE13F" w14:textId="77777777" w:rsidTr="00154391">
        <w:trPr>
          <w:cnfStyle w:val="100000000000" w:firstRow="1" w:lastRow="0" w:firstColumn="0" w:lastColumn="0" w:oddVBand="0" w:evenVBand="0" w:oddHBand="0" w:evenHBand="0" w:firstRowFirstColumn="0" w:firstRowLastColumn="0" w:lastRowFirstColumn="0" w:lastRowLastColumn="0"/>
          <w:tblHeader/>
          <w:jc w:val="center"/>
        </w:trPr>
        <w:tc>
          <w:tcPr>
            <w:tcW w:w="4575" w:type="dxa"/>
            <w:tcBorders>
              <w:top w:val="single" w:sz="4" w:space="0" w:color="auto"/>
              <w:bottom w:val="single" w:sz="4" w:space="0" w:color="auto"/>
            </w:tcBorders>
          </w:tcPr>
          <w:p w14:paraId="4E420D73" w14:textId="77777777" w:rsidR="00114498" w:rsidRDefault="00114498">
            <w:pPr>
              <w:pStyle w:val="Compact"/>
            </w:pPr>
          </w:p>
        </w:tc>
        <w:tc>
          <w:tcPr>
            <w:tcW w:w="2410" w:type="dxa"/>
            <w:tcBorders>
              <w:top w:val="single" w:sz="4" w:space="0" w:color="auto"/>
              <w:left w:val="nil"/>
              <w:bottom w:val="single" w:sz="4" w:space="0" w:color="auto"/>
            </w:tcBorders>
          </w:tcPr>
          <w:p w14:paraId="0B69D42B" w14:textId="77777777" w:rsidR="00114498" w:rsidRDefault="006D5088">
            <w:r>
              <w:t>(1)</w:t>
            </w:r>
          </w:p>
          <w:p w14:paraId="570ADC1A" w14:textId="6DAA5292" w:rsidR="006D5088" w:rsidRDefault="006D5088">
            <w:r>
              <w:t>Ln(Spread)</w:t>
            </w:r>
          </w:p>
        </w:tc>
        <w:tc>
          <w:tcPr>
            <w:tcW w:w="2453" w:type="dxa"/>
            <w:tcBorders>
              <w:top w:val="single" w:sz="4" w:space="0" w:color="auto"/>
              <w:bottom w:val="single" w:sz="4" w:space="0" w:color="auto"/>
            </w:tcBorders>
          </w:tcPr>
          <w:p w14:paraId="3A2AC6CE" w14:textId="6D929541" w:rsidR="00114498" w:rsidRDefault="006D5088">
            <w:r>
              <w:t>(2)</w:t>
            </w:r>
          </w:p>
          <w:p w14:paraId="56AABDCA" w14:textId="3C88CDE2" w:rsidR="006D5088" w:rsidRDefault="006D5088">
            <w:r>
              <w:t>Ln(Spread)</w:t>
            </w:r>
          </w:p>
        </w:tc>
      </w:tr>
      <w:tr w:rsidR="00114498" w14:paraId="3E6EBCFB" w14:textId="77777777" w:rsidTr="00154391">
        <w:trPr>
          <w:jc w:val="center"/>
        </w:trPr>
        <w:tc>
          <w:tcPr>
            <w:tcW w:w="4575" w:type="dxa"/>
            <w:tcBorders>
              <w:top w:val="single" w:sz="4" w:space="0" w:color="auto"/>
            </w:tcBorders>
          </w:tcPr>
          <w:p w14:paraId="00B11930" w14:textId="77777777" w:rsidR="00114498" w:rsidRDefault="00000000">
            <w:pPr>
              <w:pStyle w:val="Compact"/>
            </w:pPr>
            <w:r>
              <w:t>(Intercept)</w:t>
            </w:r>
          </w:p>
        </w:tc>
        <w:tc>
          <w:tcPr>
            <w:tcW w:w="2410" w:type="dxa"/>
            <w:tcBorders>
              <w:top w:val="single" w:sz="4" w:space="0" w:color="auto"/>
              <w:left w:val="nil"/>
            </w:tcBorders>
          </w:tcPr>
          <w:p w14:paraId="251FFE1C" w14:textId="77777777" w:rsidR="00114498" w:rsidRDefault="00000000">
            <w:pPr>
              <w:pStyle w:val="Compact"/>
            </w:pPr>
            <w:r>
              <w:t>8.581***</w:t>
            </w:r>
          </w:p>
        </w:tc>
        <w:tc>
          <w:tcPr>
            <w:tcW w:w="2453" w:type="dxa"/>
            <w:tcBorders>
              <w:top w:val="single" w:sz="4" w:space="0" w:color="auto"/>
            </w:tcBorders>
          </w:tcPr>
          <w:p w14:paraId="57645070" w14:textId="77777777" w:rsidR="00114498" w:rsidRDefault="00000000">
            <w:pPr>
              <w:pStyle w:val="Compact"/>
            </w:pPr>
            <w:r>
              <w:t>7.347***</w:t>
            </w:r>
          </w:p>
        </w:tc>
      </w:tr>
      <w:tr w:rsidR="00114498" w14:paraId="3D33E3FE" w14:textId="77777777" w:rsidTr="00154391">
        <w:trPr>
          <w:jc w:val="center"/>
        </w:trPr>
        <w:tc>
          <w:tcPr>
            <w:tcW w:w="4575" w:type="dxa"/>
          </w:tcPr>
          <w:p w14:paraId="3954B4B6" w14:textId="77777777" w:rsidR="00114498" w:rsidRDefault="00114498">
            <w:pPr>
              <w:pStyle w:val="Compact"/>
            </w:pPr>
          </w:p>
        </w:tc>
        <w:tc>
          <w:tcPr>
            <w:tcW w:w="2410" w:type="dxa"/>
            <w:tcBorders>
              <w:left w:val="nil"/>
            </w:tcBorders>
          </w:tcPr>
          <w:p w14:paraId="01A5878F" w14:textId="77777777" w:rsidR="00114498" w:rsidRDefault="00000000">
            <w:pPr>
              <w:pStyle w:val="Compact"/>
            </w:pPr>
            <w:r>
              <w:t>(&lt;0.001)</w:t>
            </w:r>
          </w:p>
        </w:tc>
        <w:tc>
          <w:tcPr>
            <w:tcW w:w="2453" w:type="dxa"/>
          </w:tcPr>
          <w:p w14:paraId="464E1978" w14:textId="77777777" w:rsidR="00114498" w:rsidRDefault="00000000">
            <w:pPr>
              <w:pStyle w:val="Compact"/>
            </w:pPr>
            <w:r>
              <w:t>(&lt;0.001)</w:t>
            </w:r>
          </w:p>
        </w:tc>
      </w:tr>
      <w:tr w:rsidR="00114498" w14:paraId="26FCF19C" w14:textId="77777777" w:rsidTr="00154391">
        <w:trPr>
          <w:jc w:val="center"/>
        </w:trPr>
        <w:tc>
          <w:tcPr>
            <w:tcW w:w="4575" w:type="dxa"/>
          </w:tcPr>
          <w:p w14:paraId="0ABE4C96" w14:textId="77777777" w:rsidR="00114498" w:rsidRDefault="00000000">
            <w:pPr>
              <w:pStyle w:val="Compact"/>
            </w:pPr>
            <w:proofErr w:type="spellStart"/>
            <w:r>
              <w:t>log_total_esg_score</w:t>
            </w:r>
            <w:proofErr w:type="spellEnd"/>
          </w:p>
        </w:tc>
        <w:tc>
          <w:tcPr>
            <w:tcW w:w="2410" w:type="dxa"/>
            <w:tcBorders>
              <w:left w:val="nil"/>
            </w:tcBorders>
          </w:tcPr>
          <w:p w14:paraId="418CCAA4" w14:textId="77777777" w:rsidR="00114498" w:rsidRDefault="00000000">
            <w:pPr>
              <w:pStyle w:val="Compact"/>
            </w:pPr>
            <w:r>
              <w:t>-0.849***</w:t>
            </w:r>
          </w:p>
        </w:tc>
        <w:tc>
          <w:tcPr>
            <w:tcW w:w="2453" w:type="dxa"/>
          </w:tcPr>
          <w:p w14:paraId="5146DF9A" w14:textId="77777777" w:rsidR="00114498" w:rsidRDefault="00000000">
            <w:pPr>
              <w:pStyle w:val="Compact"/>
            </w:pPr>
            <w:r>
              <w:t>-0.371***</w:t>
            </w:r>
          </w:p>
        </w:tc>
      </w:tr>
      <w:tr w:rsidR="00114498" w14:paraId="583F02DB" w14:textId="77777777" w:rsidTr="00154391">
        <w:trPr>
          <w:jc w:val="center"/>
        </w:trPr>
        <w:tc>
          <w:tcPr>
            <w:tcW w:w="4575" w:type="dxa"/>
          </w:tcPr>
          <w:p w14:paraId="50CDBF45" w14:textId="77777777" w:rsidR="00114498" w:rsidRDefault="00114498">
            <w:pPr>
              <w:pStyle w:val="Compact"/>
            </w:pPr>
          </w:p>
        </w:tc>
        <w:tc>
          <w:tcPr>
            <w:tcW w:w="2410" w:type="dxa"/>
            <w:tcBorders>
              <w:left w:val="nil"/>
            </w:tcBorders>
          </w:tcPr>
          <w:p w14:paraId="002F8C7E" w14:textId="77777777" w:rsidR="00114498" w:rsidRDefault="00000000">
            <w:pPr>
              <w:pStyle w:val="Compact"/>
            </w:pPr>
            <w:r>
              <w:t>(&lt;0.001)</w:t>
            </w:r>
          </w:p>
        </w:tc>
        <w:tc>
          <w:tcPr>
            <w:tcW w:w="2453" w:type="dxa"/>
          </w:tcPr>
          <w:p w14:paraId="3B2D69C2" w14:textId="77777777" w:rsidR="00114498" w:rsidRDefault="00000000">
            <w:pPr>
              <w:pStyle w:val="Compact"/>
            </w:pPr>
            <w:r>
              <w:t>(&lt;0.001)</w:t>
            </w:r>
          </w:p>
        </w:tc>
      </w:tr>
      <w:tr w:rsidR="00114498" w14:paraId="7062D18A" w14:textId="77777777" w:rsidTr="00154391">
        <w:trPr>
          <w:jc w:val="center"/>
        </w:trPr>
        <w:tc>
          <w:tcPr>
            <w:tcW w:w="4575" w:type="dxa"/>
          </w:tcPr>
          <w:p w14:paraId="045D6973" w14:textId="77777777" w:rsidR="00114498" w:rsidRDefault="00000000">
            <w:pPr>
              <w:pStyle w:val="Compact"/>
            </w:pPr>
            <w:proofErr w:type="spellStart"/>
            <w:r>
              <w:t>profitability_w</w:t>
            </w:r>
            <w:proofErr w:type="spellEnd"/>
          </w:p>
        </w:tc>
        <w:tc>
          <w:tcPr>
            <w:tcW w:w="2410" w:type="dxa"/>
            <w:tcBorders>
              <w:left w:val="nil"/>
            </w:tcBorders>
          </w:tcPr>
          <w:p w14:paraId="0EA304BF" w14:textId="77777777" w:rsidR="00114498" w:rsidRDefault="00114498">
            <w:pPr>
              <w:pStyle w:val="Compact"/>
            </w:pPr>
          </w:p>
        </w:tc>
        <w:tc>
          <w:tcPr>
            <w:tcW w:w="2453" w:type="dxa"/>
          </w:tcPr>
          <w:p w14:paraId="1EF9CE0F" w14:textId="77777777" w:rsidR="00114498" w:rsidRDefault="00000000">
            <w:pPr>
              <w:pStyle w:val="Compact"/>
            </w:pPr>
            <w:r>
              <w:t>-0.471***</w:t>
            </w:r>
          </w:p>
        </w:tc>
      </w:tr>
      <w:tr w:rsidR="00114498" w14:paraId="5478DC83" w14:textId="77777777" w:rsidTr="00154391">
        <w:trPr>
          <w:jc w:val="center"/>
        </w:trPr>
        <w:tc>
          <w:tcPr>
            <w:tcW w:w="4575" w:type="dxa"/>
          </w:tcPr>
          <w:p w14:paraId="1A0D8EE6" w14:textId="77777777" w:rsidR="00114498" w:rsidRDefault="00114498">
            <w:pPr>
              <w:pStyle w:val="Compact"/>
            </w:pPr>
          </w:p>
        </w:tc>
        <w:tc>
          <w:tcPr>
            <w:tcW w:w="2410" w:type="dxa"/>
            <w:tcBorders>
              <w:left w:val="nil"/>
            </w:tcBorders>
          </w:tcPr>
          <w:p w14:paraId="152FD976" w14:textId="77777777" w:rsidR="00114498" w:rsidRDefault="00114498">
            <w:pPr>
              <w:pStyle w:val="Compact"/>
            </w:pPr>
          </w:p>
        </w:tc>
        <w:tc>
          <w:tcPr>
            <w:tcW w:w="2453" w:type="dxa"/>
          </w:tcPr>
          <w:p w14:paraId="67B6376A" w14:textId="77777777" w:rsidR="00114498" w:rsidRDefault="00000000">
            <w:pPr>
              <w:pStyle w:val="Compact"/>
            </w:pPr>
            <w:r>
              <w:t>(&lt;0.001)</w:t>
            </w:r>
          </w:p>
        </w:tc>
      </w:tr>
      <w:tr w:rsidR="00114498" w14:paraId="6FE81461" w14:textId="77777777" w:rsidTr="00154391">
        <w:trPr>
          <w:jc w:val="center"/>
        </w:trPr>
        <w:tc>
          <w:tcPr>
            <w:tcW w:w="4575" w:type="dxa"/>
          </w:tcPr>
          <w:p w14:paraId="3BB062DC" w14:textId="77777777" w:rsidR="00114498" w:rsidRDefault="00000000">
            <w:pPr>
              <w:pStyle w:val="Compact"/>
            </w:pPr>
            <w:r>
              <w:t>leverage_w</w:t>
            </w:r>
          </w:p>
        </w:tc>
        <w:tc>
          <w:tcPr>
            <w:tcW w:w="2410" w:type="dxa"/>
            <w:tcBorders>
              <w:left w:val="nil"/>
            </w:tcBorders>
          </w:tcPr>
          <w:p w14:paraId="78CD6085" w14:textId="77777777" w:rsidR="00114498" w:rsidRDefault="00114498">
            <w:pPr>
              <w:pStyle w:val="Compact"/>
            </w:pPr>
          </w:p>
        </w:tc>
        <w:tc>
          <w:tcPr>
            <w:tcW w:w="2453" w:type="dxa"/>
          </w:tcPr>
          <w:p w14:paraId="79FCBCE8" w14:textId="77777777" w:rsidR="00114498" w:rsidRDefault="00000000">
            <w:pPr>
              <w:pStyle w:val="Compact"/>
            </w:pPr>
            <w:r>
              <w:t>0.678***</w:t>
            </w:r>
          </w:p>
        </w:tc>
      </w:tr>
      <w:tr w:rsidR="00114498" w14:paraId="132A2137" w14:textId="77777777" w:rsidTr="00154391">
        <w:trPr>
          <w:jc w:val="center"/>
        </w:trPr>
        <w:tc>
          <w:tcPr>
            <w:tcW w:w="4575" w:type="dxa"/>
          </w:tcPr>
          <w:p w14:paraId="3562B012" w14:textId="77777777" w:rsidR="00114498" w:rsidRDefault="00114498">
            <w:pPr>
              <w:pStyle w:val="Compact"/>
            </w:pPr>
          </w:p>
        </w:tc>
        <w:tc>
          <w:tcPr>
            <w:tcW w:w="2410" w:type="dxa"/>
            <w:tcBorders>
              <w:left w:val="nil"/>
            </w:tcBorders>
          </w:tcPr>
          <w:p w14:paraId="26096C7F" w14:textId="77777777" w:rsidR="00114498" w:rsidRDefault="00114498">
            <w:pPr>
              <w:pStyle w:val="Compact"/>
            </w:pPr>
          </w:p>
        </w:tc>
        <w:tc>
          <w:tcPr>
            <w:tcW w:w="2453" w:type="dxa"/>
          </w:tcPr>
          <w:p w14:paraId="52940254" w14:textId="77777777" w:rsidR="00114498" w:rsidRDefault="00000000">
            <w:pPr>
              <w:pStyle w:val="Compact"/>
            </w:pPr>
            <w:r>
              <w:t>(&lt;0.001)</w:t>
            </w:r>
          </w:p>
        </w:tc>
      </w:tr>
      <w:tr w:rsidR="00114498" w14:paraId="1504DCFA" w14:textId="77777777" w:rsidTr="00154391">
        <w:trPr>
          <w:jc w:val="center"/>
        </w:trPr>
        <w:tc>
          <w:tcPr>
            <w:tcW w:w="4575" w:type="dxa"/>
          </w:tcPr>
          <w:p w14:paraId="52490682" w14:textId="77777777" w:rsidR="00114498" w:rsidRDefault="00000000">
            <w:pPr>
              <w:pStyle w:val="Compact"/>
            </w:pPr>
            <w:r>
              <w:t>log_size</w:t>
            </w:r>
          </w:p>
        </w:tc>
        <w:tc>
          <w:tcPr>
            <w:tcW w:w="2410" w:type="dxa"/>
            <w:tcBorders>
              <w:left w:val="nil"/>
            </w:tcBorders>
          </w:tcPr>
          <w:p w14:paraId="568B86A9" w14:textId="77777777" w:rsidR="00114498" w:rsidRDefault="00114498">
            <w:pPr>
              <w:pStyle w:val="Compact"/>
            </w:pPr>
          </w:p>
        </w:tc>
        <w:tc>
          <w:tcPr>
            <w:tcW w:w="2453" w:type="dxa"/>
          </w:tcPr>
          <w:p w14:paraId="41B9EEA4" w14:textId="77777777" w:rsidR="00114498" w:rsidRDefault="00000000">
            <w:pPr>
              <w:pStyle w:val="Compact"/>
            </w:pPr>
            <w:r>
              <w:t>-0.097***</w:t>
            </w:r>
          </w:p>
        </w:tc>
      </w:tr>
      <w:tr w:rsidR="00114498" w14:paraId="31AC8C31" w14:textId="77777777" w:rsidTr="00154391">
        <w:trPr>
          <w:jc w:val="center"/>
        </w:trPr>
        <w:tc>
          <w:tcPr>
            <w:tcW w:w="4575" w:type="dxa"/>
          </w:tcPr>
          <w:p w14:paraId="769E1CA9" w14:textId="77777777" w:rsidR="00114498" w:rsidRDefault="00114498">
            <w:pPr>
              <w:pStyle w:val="Compact"/>
            </w:pPr>
          </w:p>
        </w:tc>
        <w:tc>
          <w:tcPr>
            <w:tcW w:w="2410" w:type="dxa"/>
            <w:tcBorders>
              <w:left w:val="nil"/>
            </w:tcBorders>
          </w:tcPr>
          <w:p w14:paraId="2ABE884A" w14:textId="77777777" w:rsidR="00114498" w:rsidRDefault="00114498">
            <w:pPr>
              <w:pStyle w:val="Compact"/>
            </w:pPr>
          </w:p>
        </w:tc>
        <w:tc>
          <w:tcPr>
            <w:tcW w:w="2453" w:type="dxa"/>
          </w:tcPr>
          <w:p w14:paraId="6A7F5353" w14:textId="77777777" w:rsidR="00114498" w:rsidRDefault="00000000">
            <w:pPr>
              <w:pStyle w:val="Compact"/>
            </w:pPr>
            <w:r>
              <w:t>(&lt;0.001)</w:t>
            </w:r>
          </w:p>
        </w:tc>
      </w:tr>
      <w:tr w:rsidR="00114498" w14:paraId="64642302" w14:textId="77777777" w:rsidTr="00154391">
        <w:trPr>
          <w:jc w:val="center"/>
        </w:trPr>
        <w:tc>
          <w:tcPr>
            <w:tcW w:w="4575" w:type="dxa"/>
          </w:tcPr>
          <w:p w14:paraId="438B0300" w14:textId="77777777" w:rsidR="00114498" w:rsidRDefault="00000000">
            <w:pPr>
              <w:pStyle w:val="Compact"/>
            </w:pPr>
            <w:r>
              <w:t>industry</w:t>
            </w:r>
          </w:p>
        </w:tc>
        <w:tc>
          <w:tcPr>
            <w:tcW w:w="2410" w:type="dxa"/>
            <w:tcBorders>
              <w:left w:val="nil"/>
            </w:tcBorders>
          </w:tcPr>
          <w:p w14:paraId="46FEF09D" w14:textId="77777777" w:rsidR="00114498" w:rsidRDefault="00114498">
            <w:pPr>
              <w:pStyle w:val="Compact"/>
            </w:pPr>
          </w:p>
        </w:tc>
        <w:tc>
          <w:tcPr>
            <w:tcW w:w="2453" w:type="dxa"/>
          </w:tcPr>
          <w:p w14:paraId="3D619A2A" w14:textId="77777777" w:rsidR="00114498" w:rsidRDefault="00000000">
            <w:pPr>
              <w:pStyle w:val="Compact"/>
            </w:pPr>
            <w:r>
              <w:t>0.013***</w:t>
            </w:r>
          </w:p>
        </w:tc>
      </w:tr>
      <w:tr w:rsidR="00114498" w14:paraId="40DBFCC7" w14:textId="77777777" w:rsidTr="00154391">
        <w:trPr>
          <w:jc w:val="center"/>
        </w:trPr>
        <w:tc>
          <w:tcPr>
            <w:tcW w:w="4575" w:type="dxa"/>
            <w:tcBorders>
              <w:bottom w:val="single" w:sz="4" w:space="0" w:color="auto"/>
            </w:tcBorders>
          </w:tcPr>
          <w:p w14:paraId="709FF730" w14:textId="77777777" w:rsidR="00114498" w:rsidRDefault="00114498">
            <w:pPr>
              <w:pStyle w:val="Compact"/>
            </w:pPr>
          </w:p>
        </w:tc>
        <w:tc>
          <w:tcPr>
            <w:tcW w:w="2410" w:type="dxa"/>
            <w:tcBorders>
              <w:left w:val="nil"/>
              <w:bottom w:val="single" w:sz="4" w:space="0" w:color="auto"/>
            </w:tcBorders>
          </w:tcPr>
          <w:p w14:paraId="43DAE91E" w14:textId="77777777" w:rsidR="00114498" w:rsidRDefault="00114498">
            <w:pPr>
              <w:pStyle w:val="Compact"/>
            </w:pPr>
          </w:p>
        </w:tc>
        <w:tc>
          <w:tcPr>
            <w:tcW w:w="2453" w:type="dxa"/>
            <w:tcBorders>
              <w:bottom w:val="single" w:sz="4" w:space="0" w:color="auto"/>
            </w:tcBorders>
          </w:tcPr>
          <w:p w14:paraId="402E0754" w14:textId="77777777" w:rsidR="00114498" w:rsidRDefault="00000000">
            <w:pPr>
              <w:pStyle w:val="Compact"/>
            </w:pPr>
            <w:r>
              <w:t>(&lt;0.001)</w:t>
            </w:r>
          </w:p>
        </w:tc>
      </w:tr>
      <w:tr w:rsidR="00114498" w14:paraId="34DE1D01" w14:textId="77777777" w:rsidTr="00154391">
        <w:trPr>
          <w:jc w:val="center"/>
        </w:trPr>
        <w:tc>
          <w:tcPr>
            <w:tcW w:w="4575" w:type="dxa"/>
            <w:tcBorders>
              <w:top w:val="single" w:sz="4" w:space="0" w:color="auto"/>
            </w:tcBorders>
          </w:tcPr>
          <w:p w14:paraId="527D4146" w14:textId="77777777" w:rsidR="00114498" w:rsidRDefault="00000000">
            <w:pPr>
              <w:pStyle w:val="Compact"/>
            </w:pPr>
            <w:r>
              <w:t>Num.Obs.</w:t>
            </w:r>
          </w:p>
        </w:tc>
        <w:tc>
          <w:tcPr>
            <w:tcW w:w="2410" w:type="dxa"/>
            <w:tcBorders>
              <w:top w:val="single" w:sz="4" w:space="0" w:color="auto"/>
              <w:left w:val="nil"/>
            </w:tcBorders>
          </w:tcPr>
          <w:p w14:paraId="2A3DF23F" w14:textId="77777777" w:rsidR="00114498" w:rsidRDefault="00000000">
            <w:pPr>
              <w:pStyle w:val="Compact"/>
            </w:pPr>
            <w:r>
              <w:t>5602</w:t>
            </w:r>
          </w:p>
        </w:tc>
        <w:tc>
          <w:tcPr>
            <w:tcW w:w="2453" w:type="dxa"/>
            <w:tcBorders>
              <w:top w:val="single" w:sz="4" w:space="0" w:color="auto"/>
            </w:tcBorders>
          </w:tcPr>
          <w:p w14:paraId="2583303B" w14:textId="77777777" w:rsidR="00114498" w:rsidRDefault="00000000">
            <w:pPr>
              <w:pStyle w:val="Compact"/>
            </w:pPr>
            <w:r>
              <w:t>5591</w:t>
            </w:r>
          </w:p>
        </w:tc>
      </w:tr>
      <w:tr w:rsidR="00114498" w14:paraId="0B00AEE4" w14:textId="77777777" w:rsidTr="00154391">
        <w:trPr>
          <w:jc w:val="center"/>
        </w:trPr>
        <w:tc>
          <w:tcPr>
            <w:tcW w:w="4575" w:type="dxa"/>
          </w:tcPr>
          <w:p w14:paraId="480B7379" w14:textId="77777777" w:rsidR="00114498" w:rsidRDefault="00000000">
            <w:pPr>
              <w:pStyle w:val="Compact"/>
            </w:pPr>
            <w:r>
              <w:t>R2</w:t>
            </w:r>
          </w:p>
        </w:tc>
        <w:tc>
          <w:tcPr>
            <w:tcW w:w="2410" w:type="dxa"/>
            <w:tcBorders>
              <w:left w:val="nil"/>
            </w:tcBorders>
          </w:tcPr>
          <w:p w14:paraId="7A59C710" w14:textId="77777777" w:rsidR="00114498" w:rsidRDefault="00000000">
            <w:pPr>
              <w:pStyle w:val="Compact"/>
            </w:pPr>
            <w:r>
              <w:t>0.047</w:t>
            </w:r>
          </w:p>
        </w:tc>
        <w:tc>
          <w:tcPr>
            <w:tcW w:w="2453" w:type="dxa"/>
          </w:tcPr>
          <w:p w14:paraId="6136B668" w14:textId="77777777" w:rsidR="00114498" w:rsidRDefault="00000000">
            <w:pPr>
              <w:pStyle w:val="Compact"/>
            </w:pPr>
            <w:r>
              <w:t>0.142</w:t>
            </w:r>
          </w:p>
        </w:tc>
      </w:tr>
      <w:tr w:rsidR="00114498" w14:paraId="3F186E57" w14:textId="77777777" w:rsidTr="00154391">
        <w:trPr>
          <w:jc w:val="center"/>
        </w:trPr>
        <w:tc>
          <w:tcPr>
            <w:tcW w:w="4575" w:type="dxa"/>
          </w:tcPr>
          <w:p w14:paraId="34422504" w14:textId="77777777" w:rsidR="00114498" w:rsidRDefault="00000000">
            <w:pPr>
              <w:pStyle w:val="Compact"/>
            </w:pPr>
            <w:r>
              <w:t>R2 Adj.</w:t>
            </w:r>
          </w:p>
        </w:tc>
        <w:tc>
          <w:tcPr>
            <w:tcW w:w="2410" w:type="dxa"/>
            <w:tcBorders>
              <w:left w:val="nil"/>
            </w:tcBorders>
          </w:tcPr>
          <w:p w14:paraId="6892C92A" w14:textId="77777777" w:rsidR="00114498" w:rsidRDefault="00000000">
            <w:pPr>
              <w:pStyle w:val="Compact"/>
            </w:pPr>
            <w:r>
              <w:t>0.047</w:t>
            </w:r>
          </w:p>
        </w:tc>
        <w:tc>
          <w:tcPr>
            <w:tcW w:w="2453" w:type="dxa"/>
          </w:tcPr>
          <w:p w14:paraId="623C51BB" w14:textId="77777777" w:rsidR="00114498" w:rsidRDefault="00000000">
            <w:pPr>
              <w:pStyle w:val="Compact"/>
            </w:pPr>
            <w:r>
              <w:t>0.141</w:t>
            </w:r>
          </w:p>
        </w:tc>
      </w:tr>
      <w:tr w:rsidR="00114498" w14:paraId="0F478BA9" w14:textId="77777777" w:rsidTr="00154391">
        <w:trPr>
          <w:jc w:val="center"/>
        </w:trPr>
        <w:tc>
          <w:tcPr>
            <w:tcW w:w="4575" w:type="dxa"/>
          </w:tcPr>
          <w:p w14:paraId="274DDFAA" w14:textId="77777777" w:rsidR="00114498" w:rsidRDefault="00000000">
            <w:pPr>
              <w:pStyle w:val="Compact"/>
            </w:pPr>
            <w:r>
              <w:t>AIC</w:t>
            </w:r>
          </w:p>
        </w:tc>
        <w:tc>
          <w:tcPr>
            <w:tcW w:w="2410" w:type="dxa"/>
            <w:tcBorders>
              <w:left w:val="nil"/>
            </w:tcBorders>
          </w:tcPr>
          <w:p w14:paraId="718A5159" w14:textId="77777777" w:rsidR="00114498" w:rsidRDefault="00000000">
            <w:pPr>
              <w:pStyle w:val="Compact"/>
            </w:pPr>
            <w:r>
              <w:t>9309.8</w:t>
            </w:r>
          </w:p>
        </w:tc>
        <w:tc>
          <w:tcPr>
            <w:tcW w:w="2453" w:type="dxa"/>
          </w:tcPr>
          <w:p w14:paraId="625FC64E" w14:textId="77777777" w:rsidR="00114498" w:rsidRDefault="00000000">
            <w:pPr>
              <w:pStyle w:val="Compact"/>
            </w:pPr>
            <w:r>
              <w:t>8707.1</w:t>
            </w:r>
          </w:p>
        </w:tc>
      </w:tr>
      <w:tr w:rsidR="00114498" w14:paraId="6A82425F" w14:textId="77777777" w:rsidTr="00154391">
        <w:trPr>
          <w:jc w:val="center"/>
        </w:trPr>
        <w:tc>
          <w:tcPr>
            <w:tcW w:w="4575" w:type="dxa"/>
          </w:tcPr>
          <w:p w14:paraId="46C58665" w14:textId="77777777" w:rsidR="00114498" w:rsidRDefault="00000000">
            <w:pPr>
              <w:pStyle w:val="Compact"/>
            </w:pPr>
            <w:r>
              <w:t>BIC</w:t>
            </w:r>
          </w:p>
        </w:tc>
        <w:tc>
          <w:tcPr>
            <w:tcW w:w="2410" w:type="dxa"/>
            <w:tcBorders>
              <w:left w:val="nil"/>
            </w:tcBorders>
          </w:tcPr>
          <w:p w14:paraId="22C1ACC8" w14:textId="77777777" w:rsidR="00114498" w:rsidRDefault="00000000">
            <w:pPr>
              <w:pStyle w:val="Compact"/>
            </w:pPr>
            <w:r>
              <w:t>9323.1</w:t>
            </w:r>
          </w:p>
        </w:tc>
        <w:tc>
          <w:tcPr>
            <w:tcW w:w="2453" w:type="dxa"/>
          </w:tcPr>
          <w:p w14:paraId="7B0E3132" w14:textId="77777777" w:rsidR="00114498" w:rsidRDefault="00000000">
            <w:pPr>
              <w:pStyle w:val="Compact"/>
            </w:pPr>
            <w:r>
              <w:t>8746.9</w:t>
            </w:r>
          </w:p>
        </w:tc>
      </w:tr>
      <w:tr w:rsidR="00114498" w14:paraId="53AE045D" w14:textId="77777777" w:rsidTr="00154391">
        <w:trPr>
          <w:jc w:val="center"/>
        </w:trPr>
        <w:tc>
          <w:tcPr>
            <w:tcW w:w="4575" w:type="dxa"/>
          </w:tcPr>
          <w:p w14:paraId="2239366B" w14:textId="77777777" w:rsidR="00114498" w:rsidRDefault="00000000">
            <w:pPr>
              <w:pStyle w:val="Compact"/>
            </w:pPr>
            <w:r>
              <w:t>RMSE</w:t>
            </w:r>
          </w:p>
        </w:tc>
        <w:tc>
          <w:tcPr>
            <w:tcW w:w="2410" w:type="dxa"/>
            <w:tcBorders>
              <w:left w:val="nil"/>
            </w:tcBorders>
          </w:tcPr>
          <w:p w14:paraId="07E95CAC" w14:textId="77777777" w:rsidR="00114498" w:rsidRDefault="00000000">
            <w:pPr>
              <w:pStyle w:val="Compact"/>
            </w:pPr>
            <w:r>
              <w:t>0.56</w:t>
            </w:r>
          </w:p>
        </w:tc>
        <w:tc>
          <w:tcPr>
            <w:tcW w:w="2453" w:type="dxa"/>
          </w:tcPr>
          <w:p w14:paraId="1E94F5FF" w14:textId="77777777" w:rsidR="00114498" w:rsidRDefault="00000000">
            <w:pPr>
              <w:pStyle w:val="Compact"/>
            </w:pPr>
            <w:r>
              <w:t>0.53</w:t>
            </w:r>
          </w:p>
        </w:tc>
      </w:tr>
      <w:tr w:rsidR="00114498" w14:paraId="4EC56FB9" w14:textId="77777777" w:rsidTr="00154391">
        <w:trPr>
          <w:jc w:val="center"/>
        </w:trPr>
        <w:tc>
          <w:tcPr>
            <w:tcW w:w="4575" w:type="dxa"/>
            <w:tcBorders>
              <w:bottom w:val="single" w:sz="4" w:space="0" w:color="auto"/>
            </w:tcBorders>
          </w:tcPr>
          <w:p w14:paraId="55EA3DA0" w14:textId="77777777" w:rsidR="00114498" w:rsidRDefault="00000000">
            <w:pPr>
              <w:pStyle w:val="Compact"/>
            </w:pPr>
            <w:r>
              <w:t>Std.Errors</w:t>
            </w:r>
          </w:p>
        </w:tc>
        <w:tc>
          <w:tcPr>
            <w:tcW w:w="2410" w:type="dxa"/>
            <w:tcBorders>
              <w:left w:val="nil"/>
              <w:bottom w:val="single" w:sz="4" w:space="0" w:color="auto"/>
            </w:tcBorders>
          </w:tcPr>
          <w:p w14:paraId="164AF4CD" w14:textId="77777777" w:rsidR="00114498" w:rsidRDefault="00000000">
            <w:pPr>
              <w:pStyle w:val="Compact"/>
            </w:pPr>
            <w:r>
              <w:t>IID</w:t>
            </w:r>
          </w:p>
        </w:tc>
        <w:tc>
          <w:tcPr>
            <w:tcW w:w="2453" w:type="dxa"/>
            <w:tcBorders>
              <w:bottom w:val="single" w:sz="4" w:space="0" w:color="auto"/>
            </w:tcBorders>
          </w:tcPr>
          <w:p w14:paraId="549E0F7F" w14:textId="77777777" w:rsidR="00114498" w:rsidRDefault="00000000">
            <w:pPr>
              <w:pStyle w:val="Compact"/>
            </w:pPr>
            <w:r>
              <w:t>IID</w:t>
            </w:r>
          </w:p>
        </w:tc>
      </w:tr>
      <w:tr w:rsidR="00114498" w14:paraId="6F388221" w14:textId="77777777" w:rsidTr="00154391">
        <w:trPr>
          <w:jc w:val="center"/>
        </w:trPr>
        <w:tc>
          <w:tcPr>
            <w:tcW w:w="9438" w:type="dxa"/>
            <w:gridSpan w:val="3"/>
            <w:tcBorders>
              <w:top w:val="single" w:sz="4" w:space="0" w:color="auto"/>
            </w:tcBorders>
          </w:tcPr>
          <w:p w14:paraId="075BFE54" w14:textId="77777777" w:rsidR="00114498" w:rsidRDefault="00000000">
            <w:pPr>
              <w:pStyle w:val="Compact"/>
              <w:numPr>
                <w:ilvl w:val="0"/>
                <w:numId w:val="4"/>
              </w:numPr>
            </w:pPr>
            <w:r>
              <w:t>p &lt; 0.1, ** p &lt; 0.05, *** p &lt; 0.01</w:t>
            </w:r>
          </w:p>
        </w:tc>
      </w:tr>
    </w:tbl>
    <w:p w14:paraId="65E50CDE" w14:textId="77777777" w:rsidR="00695B8B" w:rsidRDefault="00695B8B"/>
    <w:p w14:paraId="63C42C13" w14:textId="77777777" w:rsidR="006D5088" w:rsidRDefault="006D5088" w:rsidP="006D5088"/>
    <w:p w14:paraId="48718B34" w14:textId="77777777" w:rsidR="000C5D25" w:rsidRPr="000C5D25" w:rsidRDefault="000C5D25" w:rsidP="000C5D25">
      <w:pPr>
        <w:rPr>
          <w:lang w:val="en-CA"/>
        </w:rPr>
      </w:pPr>
      <w:r w:rsidRPr="000C5D25">
        <w:rPr>
          <w:lang w:val="en-CA"/>
        </w:rPr>
        <w:t>The table provides detailed results from regression analyses aimed at understanding the relationship between borrowers' Environmental, Social, and Governance (ESG) scores and loan spreads. The dependent variable in both models is the natural logarithm of loan spreads, which allows for a more nuanced interpretation of the percentage change in spreads relative to changes in ESG scores and other financial variables.</w:t>
      </w:r>
    </w:p>
    <w:p w14:paraId="46F62D3F" w14:textId="77777777" w:rsidR="000C5D25" w:rsidRPr="000C5D25" w:rsidRDefault="000C5D25" w:rsidP="000C5D25">
      <w:pPr>
        <w:rPr>
          <w:lang w:val="en-CA"/>
        </w:rPr>
      </w:pPr>
      <w:r w:rsidRPr="000C5D25">
        <w:rPr>
          <w:lang w:val="en-CA"/>
        </w:rPr>
        <w:t>In column (1), the regression focuses solely on the relationship between the ESG score and loan spreads. The coefficient for the log of the total ESG score is -0.849, which is highly significant (p &lt; 0.001). This finding indicates a strong negative relationship between ESG scores and loan spreads, suggesting that as a borrower’s ESG score increases by 1%, the loan spread decreases by approximately 0.849%. This result is consistent with the notion that higher ESG-rated firms may be perceived as less risky by lenders, leading to lower borrowing costs. However, this model only accounts for ESG scores without considering other financial or industry-specific factors that might influence loan spreads.</w:t>
      </w:r>
    </w:p>
    <w:p w14:paraId="6D329E2E" w14:textId="77777777" w:rsidR="000C5D25" w:rsidRPr="000C5D25" w:rsidRDefault="000C5D25" w:rsidP="000C5D25">
      <w:pPr>
        <w:rPr>
          <w:lang w:val="en-CA"/>
        </w:rPr>
      </w:pPr>
      <w:r w:rsidRPr="000C5D25">
        <w:rPr>
          <w:lang w:val="en-CA"/>
        </w:rPr>
        <w:lastRenderedPageBreak/>
        <w:t>Column (2) extends the analysis by introducing several control variables, including profitability, leverage, firm size, and industry effects. Even after controlling for these factors, the coefficient for the ESG score remains negative and significant at -0.371 (p &lt; 0.001), though its magnitude is reduced compared to the simple model in column (1). This suggests that while ESG scores do play a role in influencing loan spreads, their impact is less pronounced when other key financial indicators are considered. This finding underscores that ESG considerations, although relevant, are not the sole determinants of loan pricing.</w:t>
      </w:r>
    </w:p>
    <w:p w14:paraId="49EB31D0" w14:textId="77777777" w:rsidR="000C5D25" w:rsidRPr="000C5D25" w:rsidRDefault="000C5D25" w:rsidP="000C5D25">
      <w:pPr>
        <w:rPr>
          <w:lang w:val="en-CA"/>
        </w:rPr>
      </w:pPr>
      <w:r w:rsidRPr="000C5D25">
        <w:rPr>
          <w:lang w:val="en-CA"/>
        </w:rPr>
        <w:t xml:space="preserve">The control variables added in column (2) provide additional insights into how traditional financial metrics influence loan spreads. Profitability, represented by the variable </w:t>
      </w:r>
      <w:proofErr w:type="spellStart"/>
      <w:r w:rsidRPr="000C5D25">
        <w:rPr>
          <w:lang w:val="en-CA"/>
        </w:rPr>
        <w:t>profitability_w</w:t>
      </w:r>
      <w:proofErr w:type="spellEnd"/>
      <w:r w:rsidRPr="000C5D25">
        <w:rPr>
          <w:lang w:val="en-CA"/>
        </w:rPr>
        <w:t>, shows a significant negative relationship with loan spreads, with a coefficient of -0.471 (p &lt; 0.001). This implies that more profitable firms are rewarded with lower loan spreads, likely reflecting their lower perceived credit risk. On the other hand, leverage (</w:t>
      </w:r>
      <w:proofErr w:type="spellStart"/>
      <w:r w:rsidRPr="000C5D25">
        <w:rPr>
          <w:lang w:val="en-CA"/>
        </w:rPr>
        <w:t>leverage_w</w:t>
      </w:r>
      <w:proofErr w:type="spellEnd"/>
      <w:r w:rsidRPr="000C5D25">
        <w:rPr>
          <w:lang w:val="en-CA"/>
        </w:rPr>
        <w:t>) has a significant positive effect on loan spreads, with a coefficient of 0.678 (p &lt; 0.001). This result suggests that firms with higher debt levels are penalized with higher loan spreads, likely due to the increased financial risk associated with higher leverage.</w:t>
      </w:r>
    </w:p>
    <w:p w14:paraId="5EE2D001" w14:textId="77777777" w:rsidR="000C5D25" w:rsidRPr="000C5D25" w:rsidRDefault="000C5D25" w:rsidP="000C5D25">
      <w:pPr>
        <w:rPr>
          <w:lang w:val="en-CA"/>
        </w:rPr>
      </w:pPr>
      <w:r w:rsidRPr="000C5D25">
        <w:rPr>
          <w:lang w:val="en-CA"/>
        </w:rPr>
        <w:t>Firm size, captured through the logarithm of size (</w:t>
      </w:r>
      <w:proofErr w:type="spellStart"/>
      <w:r w:rsidRPr="000C5D25">
        <w:rPr>
          <w:lang w:val="en-CA"/>
        </w:rPr>
        <w:t>log_size</w:t>
      </w:r>
      <w:proofErr w:type="spellEnd"/>
      <w:r w:rsidRPr="000C5D25">
        <w:rPr>
          <w:lang w:val="en-CA"/>
        </w:rPr>
        <w:t>), is also significantly negatively related to loan spreads, with a coefficient of -0.097 (p &lt; 0.001). This indicates that larger firms, which are typically viewed as more stable and less risky, tend to secure loans at lower spreads. Additionally, the industry variable exhibits a small but significant positive effect (0.013, p &lt; 0.001), implying that loan spreads vary across different industries, potentially reflecting industry-specific risks or market conditions.</w:t>
      </w:r>
    </w:p>
    <w:p w14:paraId="3E528F3B" w14:textId="77777777" w:rsidR="000C5D25" w:rsidRPr="000C5D25" w:rsidRDefault="000C5D25" w:rsidP="000C5D25">
      <w:pPr>
        <w:rPr>
          <w:lang w:val="en-CA"/>
        </w:rPr>
      </w:pPr>
      <w:r w:rsidRPr="000C5D25">
        <w:rPr>
          <w:lang w:val="en-CA"/>
        </w:rPr>
        <w:t>The goodness-of-fit metrics, such as R-squared and adjusted R-squared, increase in column (2), indicating that the inclusion of these control variables improves the model's explanatory power. The lower values of the Akaike Information Criterion (AIC) and Bayesian Information Criterion (BIC) further suggest that the model in column (2) provides a better fit to the data compared to the simpler model in column (1). The Root Mean Square Error (RMSE) also decreases slightly in column (2), indicating improved prediction accuracy.</w:t>
      </w:r>
    </w:p>
    <w:p w14:paraId="004D8E3F" w14:textId="77777777" w:rsidR="000C5D25" w:rsidRPr="000C5D25" w:rsidRDefault="000C5D25" w:rsidP="000C5D25">
      <w:pPr>
        <w:rPr>
          <w:lang w:val="en-CA"/>
        </w:rPr>
      </w:pPr>
      <w:r w:rsidRPr="000C5D25">
        <w:rPr>
          <w:lang w:val="en-CA"/>
        </w:rPr>
        <w:t>Overall, these findings highlight that while ESG scores are an important consideration in loan pricing, traditional financial metrics such as profitability, leverage, and firm size remain more influential factors in determining loan spreads. This suggests that while lenders are beginning to integrate ESG factors into their risk assessments, they continue to rely heavily on established financial indicators to guide their pricing decisions. The results align with broader literature that suggests a growing but still limited role for ESG factors in financial decision-making, particularly in contexts like loan pricing where financial risk remains a primary concern for lenders.</w:t>
      </w:r>
    </w:p>
    <w:p w14:paraId="7D635A41" w14:textId="77777777" w:rsidR="006D5088" w:rsidRDefault="006D5088"/>
    <w:sectPr w:rsidR="006D508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86DBC5" w14:textId="77777777" w:rsidR="00467BF0" w:rsidRDefault="00467BF0">
      <w:pPr>
        <w:spacing w:after="0"/>
      </w:pPr>
      <w:r>
        <w:separator/>
      </w:r>
    </w:p>
  </w:endnote>
  <w:endnote w:type="continuationSeparator" w:id="0">
    <w:p w14:paraId="060E4533" w14:textId="77777777" w:rsidR="00467BF0" w:rsidRDefault="00467BF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95C5D3" w14:textId="77777777" w:rsidR="00467BF0" w:rsidRDefault="00467BF0">
      <w:r>
        <w:separator/>
      </w:r>
    </w:p>
  </w:footnote>
  <w:footnote w:type="continuationSeparator" w:id="0">
    <w:p w14:paraId="79B46CBB" w14:textId="77777777" w:rsidR="00467BF0" w:rsidRDefault="00467B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5CCEA86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B6E4B60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31"/>
    <w:multiLevelType w:val="multilevel"/>
    <w:tmpl w:val="E77C00D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32"/>
    <w:multiLevelType w:val="multilevel"/>
    <w:tmpl w:val="A5B2174A"/>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 w16cid:durableId="415826451">
    <w:abstractNumId w:val="0"/>
  </w:num>
  <w:num w:numId="2" w16cid:durableId="17044796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0674046">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16cid:durableId="16244602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14498"/>
    <w:rsid w:val="000957FD"/>
    <w:rsid w:val="000C5D25"/>
    <w:rsid w:val="000E2FDD"/>
    <w:rsid w:val="00114498"/>
    <w:rsid w:val="00154391"/>
    <w:rsid w:val="001745DC"/>
    <w:rsid w:val="003173BE"/>
    <w:rsid w:val="00467BF0"/>
    <w:rsid w:val="00695B8B"/>
    <w:rsid w:val="006D5088"/>
    <w:rsid w:val="00945A38"/>
    <w:rsid w:val="009F522E"/>
    <w:rsid w:val="00E44B4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EA4CE"/>
  <w15:docId w15:val="{C5D05C19-B5F4-4A2F-A501-DF3449DE0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3023226">
      <w:bodyDiv w:val="1"/>
      <w:marLeft w:val="0"/>
      <w:marRight w:val="0"/>
      <w:marTop w:val="0"/>
      <w:marBottom w:val="0"/>
      <w:divBdr>
        <w:top w:val="none" w:sz="0" w:space="0" w:color="auto"/>
        <w:left w:val="none" w:sz="0" w:space="0" w:color="auto"/>
        <w:bottom w:val="none" w:sz="0" w:space="0" w:color="auto"/>
        <w:right w:val="none" w:sz="0" w:space="0" w:color="auto"/>
      </w:divBdr>
      <w:divsChild>
        <w:div w:id="1160579079">
          <w:marLeft w:val="0"/>
          <w:marRight w:val="0"/>
          <w:marTop w:val="0"/>
          <w:marBottom w:val="0"/>
          <w:divBdr>
            <w:top w:val="none" w:sz="0" w:space="0" w:color="auto"/>
            <w:left w:val="none" w:sz="0" w:space="0" w:color="auto"/>
            <w:bottom w:val="none" w:sz="0" w:space="0" w:color="auto"/>
            <w:right w:val="none" w:sz="0" w:space="0" w:color="auto"/>
          </w:divBdr>
          <w:divsChild>
            <w:div w:id="1553033549">
              <w:marLeft w:val="0"/>
              <w:marRight w:val="0"/>
              <w:marTop w:val="0"/>
              <w:marBottom w:val="0"/>
              <w:divBdr>
                <w:top w:val="none" w:sz="0" w:space="0" w:color="auto"/>
                <w:left w:val="none" w:sz="0" w:space="0" w:color="auto"/>
                <w:bottom w:val="none" w:sz="0" w:space="0" w:color="auto"/>
                <w:right w:val="none" w:sz="0" w:space="0" w:color="auto"/>
              </w:divBdr>
              <w:divsChild>
                <w:div w:id="1459058822">
                  <w:marLeft w:val="0"/>
                  <w:marRight w:val="0"/>
                  <w:marTop w:val="0"/>
                  <w:marBottom w:val="0"/>
                  <w:divBdr>
                    <w:top w:val="none" w:sz="0" w:space="0" w:color="auto"/>
                    <w:left w:val="none" w:sz="0" w:space="0" w:color="auto"/>
                    <w:bottom w:val="none" w:sz="0" w:space="0" w:color="auto"/>
                    <w:right w:val="none" w:sz="0" w:space="0" w:color="auto"/>
                  </w:divBdr>
                  <w:divsChild>
                    <w:div w:id="96878262">
                      <w:marLeft w:val="0"/>
                      <w:marRight w:val="0"/>
                      <w:marTop w:val="0"/>
                      <w:marBottom w:val="0"/>
                      <w:divBdr>
                        <w:top w:val="none" w:sz="0" w:space="0" w:color="auto"/>
                        <w:left w:val="none" w:sz="0" w:space="0" w:color="auto"/>
                        <w:bottom w:val="none" w:sz="0" w:space="0" w:color="auto"/>
                        <w:right w:val="none" w:sz="0" w:space="0" w:color="auto"/>
                      </w:divBdr>
                      <w:divsChild>
                        <w:div w:id="1944919452">
                          <w:marLeft w:val="0"/>
                          <w:marRight w:val="0"/>
                          <w:marTop w:val="0"/>
                          <w:marBottom w:val="0"/>
                          <w:divBdr>
                            <w:top w:val="none" w:sz="0" w:space="0" w:color="auto"/>
                            <w:left w:val="none" w:sz="0" w:space="0" w:color="auto"/>
                            <w:bottom w:val="none" w:sz="0" w:space="0" w:color="auto"/>
                            <w:right w:val="none" w:sz="0" w:space="0" w:color="auto"/>
                          </w:divBdr>
                          <w:divsChild>
                            <w:div w:id="838930232">
                              <w:marLeft w:val="0"/>
                              <w:marRight w:val="0"/>
                              <w:marTop w:val="0"/>
                              <w:marBottom w:val="0"/>
                              <w:divBdr>
                                <w:top w:val="none" w:sz="0" w:space="0" w:color="auto"/>
                                <w:left w:val="none" w:sz="0" w:space="0" w:color="auto"/>
                                <w:bottom w:val="none" w:sz="0" w:space="0" w:color="auto"/>
                                <w:right w:val="none" w:sz="0" w:space="0" w:color="auto"/>
                              </w:divBdr>
                              <w:divsChild>
                                <w:div w:id="1314800826">
                                  <w:marLeft w:val="0"/>
                                  <w:marRight w:val="0"/>
                                  <w:marTop w:val="0"/>
                                  <w:marBottom w:val="0"/>
                                  <w:divBdr>
                                    <w:top w:val="none" w:sz="0" w:space="0" w:color="auto"/>
                                    <w:left w:val="none" w:sz="0" w:space="0" w:color="auto"/>
                                    <w:bottom w:val="none" w:sz="0" w:space="0" w:color="auto"/>
                                    <w:right w:val="none" w:sz="0" w:space="0" w:color="auto"/>
                                  </w:divBdr>
                                  <w:divsChild>
                                    <w:div w:id="493378805">
                                      <w:marLeft w:val="0"/>
                                      <w:marRight w:val="0"/>
                                      <w:marTop w:val="0"/>
                                      <w:marBottom w:val="0"/>
                                      <w:divBdr>
                                        <w:top w:val="none" w:sz="0" w:space="0" w:color="auto"/>
                                        <w:left w:val="none" w:sz="0" w:space="0" w:color="auto"/>
                                        <w:bottom w:val="none" w:sz="0" w:space="0" w:color="auto"/>
                                        <w:right w:val="none" w:sz="0" w:space="0" w:color="auto"/>
                                      </w:divBdr>
                                      <w:divsChild>
                                        <w:div w:id="384835684">
                                          <w:marLeft w:val="0"/>
                                          <w:marRight w:val="0"/>
                                          <w:marTop w:val="0"/>
                                          <w:marBottom w:val="0"/>
                                          <w:divBdr>
                                            <w:top w:val="none" w:sz="0" w:space="0" w:color="auto"/>
                                            <w:left w:val="none" w:sz="0" w:space="0" w:color="auto"/>
                                            <w:bottom w:val="none" w:sz="0" w:space="0" w:color="auto"/>
                                            <w:right w:val="none" w:sz="0" w:space="0" w:color="auto"/>
                                          </w:divBdr>
                                          <w:divsChild>
                                            <w:div w:id="757218456">
                                              <w:marLeft w:val="0"/>
                                              <w:marRight w:val="0"/>
                                              <w:marTop w:val="0"/>
                                              <w:marBottom w:val="0"/>
                                              <w:divBdr>
                                                <w:top w:val="none" w:sz="0" w:space="0" w:color="auto"/>
                                                <w:left w:val="none" w:sz="0" w:space="0" w:color="auto"/>
                                                <w:bottom w:val="none" w:sz="0" w:space="0" w:color="auto"/>
                                                <w:right w:val="none" w:sz="0" w:space="0" w:color="auto"/>
                                              </w:divBdr>
                                              <w:divsChild>
                                                <w:div w:id="146478049">
                                                  <w:marLeft w:val="0"/>
                                                  <w:marRight w:val="0"/>
                                                  <w:marTop w:val="0"/>
                                                  <w:marBottom w:val="0"/>
                                                  <w:divBdr>
                                                    <w:top w:val="none" w:sz="0" w:space="0" w:color="auto"/>
                                                    <w:left w:val="none" w:sz="0" w:space="0" w:color="auto"/>
                                                    <w:bottom w:val="none" w:sz="0" w:space="0" w:color="auto"/>
                                                    <w:right w:val="none" w:sz="0" w:space="0" w:color="auto"/>
                                                  </w:divBdr>
                                                  <w:divsChild>
                                                    <w:div w:id="2138643094">
                                                      <w:marLeft w:val="0"/>
                                                      <w:marRight w:val="0"/>
                                                      <w:marTop w:val="0"/>
                                                      <w:marBottom w:val="0"/>
                                                      <w:divBdr>
                                                        <w:top w:val="none" w:sz="0" w:space="0" w:color="auto"/>
                                                        <w:left w:val="none" w:sz="0" w:space="0" w:color="auto"/>
                                                        <w:bottom w:val="none" w:sz="0" w:space="0" w:color="auto"/>
                                                        <w:right w:val="none" w:sz="0" w:space="0" w:color="auto"/>
                                                      </w:divBdr>
                                                      <w:divsChild>
                                                        <w:div w:id="162997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789045">
                                              <w:marLeft w:val="0"/>
                                              <w:marRight w:val="0"/>
                                              <w:marTop w:val="0"/>
                                              <w:marBottom w:val="0"/>
                                              <w:divBdr>
                                                <w:top w:val="none" w:sz="0" w:space="0" w:color="auto"/>
                                                <w:left w:val="none" w:sz="0" w:space="0" w:color="auto"/>
                                                <w:bottom w:val="none" w:sz="0" w:space="0" w:color="auto"/>
                                                <w:right w:val="none" w:sz="0" w:space="0" w:color="auto"/>
                                              </w:divBdr>
                                              <w:divsChild>
                                                <w:div w:id="1263801672">
                                                  <w:marLeft w:val="0"/>
                                                  <w:marRight w:val="0"/>
                                                  <w:marTop w:val="0"/>
                                                  <w:marBottom w:val="0"/>
                                                  <w:divBdr>
                                                    <w:top w:val="none" w:sz="0" w:space="0" w:color="auto"/>
                                                    <w:left w:val="none" w:sz="0" w:space="0" w:color="auto"/>
                                                    <w:bottom w:val="none" w:sz="0" w:space="0" w:color="auto"/>
                                                    <w:right w:val="none" w:sz="0" w:space="0" w:color="auto"/>
                                                  </w:divBdr>
                                                  <w:divsChild>
                                                    <w:div w:id="429743976">
                                                      <w:marLeft w:val="0"/>
                                                      <w:marRight w:val="0"/>
                                                      <w:marTop w:val="0"/>
                                                      <w:marBottom w:val="0"/>
                                                      <w:divBdr>
                                                        <w:top w:val="none" w:sz="0" w:space="0" w:color="auto"/>
                                                        <w:left w:val="none" w:sz="0" w:space="0" w:color="auto"/>
                                                        <w:bottom w:val="none" w:sz="0" w:space="0" w:color="auto"/>
                                                        <w:right w:val="none" w:sz="0" w:space="0" w:color="auto"/>
                                                      </w:divBdr>
                                                      <w:divsChild>
                                                        <w:div w:id="56357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62301257">
          <w:marLeft w:val="0"/>
          <w:marRight w:val="0"/>
          <w:marTop w:val="0"/>
          <w:marBottom w:val="0"/>
          <w:divBdr>
            <w:top w:val="none" w:sz="0" w:space="0" w:color="auto"/>
            <w:left w:val="none" w:sz="0" w:space="0" w:color="auto"/>
            <w:bottom w:val="none" w:sz="0" w:space="0" w:color="auto"/>
            <w:right w:val="none" w:sz="0" w:space="0" w:color="auto"/>
          </w:divBdr>
          <w:divsChild>
            <w:div w:id="776873392">
              <w:marLeft w:val="0"/>
              <w:marRight w:val="0"/>
              <w:marTop w:val="0"/>
              <w:marBottom w:val="0"/>
              <w:divBdr>
                <w:top w:val="none" w:sz="0" w:space="0" w:color="auto"/>
                <w:left w:val="none" w:sz="0" w:space="0" w:color="auto"/>
                <w:bottom w:val="none" w:sz="0" w:space="0" w:color="auto"/>
                <w:right w:val="none" w:sz="0" w:space="0" w:color="auto"/>
              </w:divBdr>
              <w:divsChild>
                <w:div w:id="898519377">
                  <w:marLeft w:val="0"/>
                  <w:marRight w:val="0"/>
                  <w:marTop w:val="0"/>
                  <w:marBottom w:val="0"/>
                  <w:divBdr>
                    <w:top w:val="none" w:sz="0" w:space="0" w:color="auto"/>
                    <w:left w:val="none" w:sz="0" w:space="0" w:color="auto"/>
                    <w:bottom w:val="none" w:sz="0" w:space="0" w:color="auto"/>
                    <w:right w:val="none" w:sz="0" w:space="0" w:color="auto"/>
                  </w:divBdr>
                  <w:divsChild>
                    <w:div w:id="17473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797613">
      <w:bodyDiv w:val="1"/>
      <w:marLeft w:val="0"/>
      <w:marRight w:val="0"/>
      <w:marTop w:val="0"/>
      <w:marBottom w:val="0"/>
      <w:divBdr>
        <w:top w:val="none" w:sz="0" w:space="0" w:color="auto"/>
        <w:left w:val="none" w:sz="0" w:space="0" w:color="auto"/>
        <w:bottom w:val="none" w:sz="0" w:space="0" w:color="auto"/>
        <w:right w:val="none" w:sz="0" w:space="0" w:color="auto"/>
      </w:divBdr>
      <w:divsChild>
        <w:div w:id="2013871436">
          <w:marLeft w:val="0"/>
          <w:marRight w:val="0"/>
          <w:marTop w:val="0"/>
          <w:marBottom w:val="0"/>
          <w:divBdr>
            <w:top w:val="none" w:sz="0" w:space="0" w:color="auto"/>
            <w:left w:val="none" w:sz="0" w:space="0" w:color="auto"/>
            <w:bottom w:val="none" w:sz="0" w:space="0" w:color="auto"/>
            <w:right w:val="none" w:sz="0" w:space="0" w:color="auto"/>
          </w:divBdr>
          <w:divsChild>
            <w:div w:id="617687683">
              <w:marLeft w:val="0"/>
              <w:marRight w:val="0"/>
              <w:marTop w:val="0"/>
              <w:marBottom w:val="0"/>
              <w:divBdr>
                <w:top w:val="none" w:sz="0" w:space="0" w:color="auto"/>
                <w:left w:val="none" w:sz="0" w:space="0" w:color="auto"/>
                <w:bottom w:val="none" w:sz="0" w:space="0" w:color="auto"/>
                <w:right w:val="none" w:sz="0" w:space="0" w:color="auto"/>
              </w:divBdr>
              <w:divsChild>
                <w:div w:id="1362365719">
                  <w:marLeft w:val="0"/>
                  <w:marRight w:val="0"/>
                  <w:marTop w:val="0"/>
                  <w:marBottom w:val="0"/>
                  <w:divBdr>
                    <w:top w:val="none" w:sz="0" w:space="0" w:color="auto"/>
                    <w:left w:val="none" w:sz="0" w:space="0" w:color="auto"/>
                    <w:bottom w:val="none" w:sz="0" w:space="0" w:color="auto"/>
                    <w:right w:val="none" w:sz="0" w:space="0" w:color="auto"/>
                  </w:divBdr>
                  <w:divsChild>
                    <w:div w:id="114073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030044">
      <w:bodyDiv w:val="1"/>
      <w:marLeft w:val="0"/>
      <w:marRight w:val="0"/>
      <w:marTop w:val="0"/>
      <w:marBottom w:val="0"/>
      <w:divBdr>
        <w:top w:val="none" w:sz="0" w:space="0" w:color="auto"/>
        <w:left w:val="none" w:sz="0" w:space="0" w:color="auto"/>
        <w:bottom w:val="none" w:sz="0" w:space="0" w:color="auto"/>
        <w:right w:val="none" w:sz="0" w:space="0" w:color="auto"/>
      </w:divBdr>
      <w:divsChild>
        <w:div w:id="665205789">
          <w:marLeft w:val="0"/>
          <w:marRight w:val="0"/>
          <w:marTop w:val="0"/>
          <w:marBottom w:val="0"/>
          <w:divBdr>
            <w:top w:val="none" w:sz="0" w:space="0" w:color="auto"/>
            <w:left w:val="none" w:sz="0" w:space="0" w:color="auto"/>
            <w:bottom w:val="none" w:sz="0" w:space="0" w:color="auto"/>
            <w:right w:val="none" w:sz="0" w:space="0" w:color="auto"/>
          </w:divBdr>
          <w:divsChild>
            <w:div w:id="605036584">
              <w:marLeft w:val="0"/>
              <w:marRight w:val="0"/>
              <w:marTop w:val="0"/>
              <w:marBottom w:val="0"/>
              <w:divBdr>
                <w:top w:val="none" w:sz="0" w:space="0" w:color="auto"/>
                <w:left w:val="none" w:sz="0" w:space="0" w:color="auto"/>
                <w:bottom w:val="none" w:sz="0" w:space="0" w:color="auto"/>
                <w:right w:val="none" w:sz="0" w:space="0" w:color="auto"/>
              </w:divBdr>
              <w:divsChild>
                <w:div w:id="598441800">
                  <w:marLeft w:val="0"/>
                  <w:marRight w:val="0"/>
                  <w:marTop w:val="0"/>
                  <w:marBottom w:val="0"/>
                  <w:divBdr>
                    <w:top w:val="none" w:sz="0" w:space="0" w:color="auto"/>
                    <w:left w:val="none" w:sz="0" w:space="0" w:color="auto"/>
                    <w:bottom w:val="none" w:sz="0" w:space="0" w:color="auto"/>
                    <w:right w:val="none" w:sz="0" w:space="0" w:color="auto"/>
                  </w:divBdr>
                  <w:divsChild>
                    <w:div w:id="85381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769701">
      <w:bodyDiv w:val="1"/>
      <w:marLeft w:val="0"/>
      <w:marRight w:val="0"/>
      <w:marTop w:val="0"/>
      <w:marBottom w:val="0"/>
      <w:divBdr>
        <w:top w:val="none" w:sz="0" w:space="0" w:color="auto"/>
        <w:left w:val="none" w:sz="0" w:space="0" w:color="auto"/>
        <w:bottom w:val="none" w:sz="0" w:space="0" w:color="auto"/>
        <w:right w:val="none" w:sz="0" w:space="0" w:color="auto"/>
      </w:divBdr>
      <w:divsChild>
        <w:div w:id="1055010110">
          <w:marLeft w:val="0"/>
          <w:marRight w:val="0"/>
          <w:marTop w:val="0"/>
          <w:marBottom w:val="0"/>
          <w:divBdr>
            <w:top w:val="none" w:sz="0" w:space="0" w:color="auto"/>
            <w:left w:val="none" w:sz="0" w:space="0" w:color="auto"/>
            <w:bottom w:val="none" w:sz="0" w:space="0" w:color="auto"/>
            <w:right w:val="none" w:sz="0" w:space="0" w:color="auto"/>
          </w:divBdr>
          <w:divsChild>
            <w:div w:id="31005980">
              <w:marLeft w:val="0"/>
              <w:marRight w:val="0"/>
              <w:marTop w:val="0"/>
              <w:marBottom w:val="0"/>
              <w:divBdr>
                <w:top w:val="none" w:sz="0" w:space="0" w:color="auto"/>
                <w:left w:val="none" w:sz="0" w:space="0" w:color="auto"/>
                <w:bottom w:val="none" w:sz="0" w:space="0" w:color="auto"/>
                <w:right w:val="none" w:sz="0" w:space="0" w:color="auto"/>
              </w:divBdr>
              <w:divsChild>
                <w:div w:id="1554150074">
                  <w:marLeft w:val="0"/>
                  <w:marRight w:val="0"/>
                  <w:marTop w:val="0"/>
                  <w:marBottom w:val="0"/>
                  <w:divBdr>
                    <w:top w:val="none" w:sz="0" w:space="0" w:color="auto"/>
                    <w:left w:val="none" w:sz="0" w:space="0" w:color="auto"/>
                    <w:bottom w:val="none" w:sz="0" w:space="0" w:color="auto"/>
                    <w:right w:val="none" w:sz="0" w:space="0" w:color="auto"/>
                  </w:divBdr>
                  <w:divsChild>
                    <w:div w:id="2137944728">
                      <w:marLeft w:val="0"/>
                      <w:marRight w:val="0"/>
                      <w:marTop w:val="0"/>
                      <w:marBottom w:val="0"/>
                      <w:divBdr>
                        <w:top w:val="none" w:sz="0" w:space="0" w:color="auto"/>
                        <w:left w:val="none" w:sz="0" w:space="0" w:color="auto"/>
                        <w:bottom w:val="none" w:sz="0" w:space="0" w:color="auto"/>
                        <w:right w:val="none" w:sz="0" w:space="0" w:color="auto"/>
                      </w:divBdr>
                      <w:divsChild>
                        <w:div w:id="1736003199">
                          <w:marLeft w:val="0"/>
                          <w:marRight w:val="0"/>
                          <w:marTop w:val="0"/>
                          <w:marBottom w:val="0"/>
                          <w:divBdr>
                            <w:top w:val="none" w:sz="0" w:space="0" w:color="auto"/>
                            <w:left w:val="none" w:sz="0" w:space="0" w:color="auto"/>
                            <w:bottom w:val="none" w:sz="0" w:space="0" w:color="auto"/>
                            <w:right w:val="none" w:sz="0" w:space="0" w:color="auto"/>
                          </w:divBdr>
                          <w:divsChild>
                            <w:div w:id="499001836">
                              <w:marLeft w:val="0"/>
                              <w:marRight w:val="0"/>
                              <w:marTop w:val="0"/>
                              <w:marBottom w:val="0"/>
                              <w:divBdr>
                                <w:top w:val="none" w:sz="0" w:space="0" w:color="auto"/>
                                <w:left w:val="none" w:sz="0" w:space="0" w:color="auto"/>
                                <w:bottom w:val="none" w:sz="0" w:space="0" w:color="auto"/>
                                <w:right w:val="none" w:sz="0" w:space="0" w:color="auto"/>
                              </w:divBdr>
                              <w:divsChild>
                                <w:div w:id="167644345">
                                  <w:marLeft w:val="0"/>
                                  <w:marRight w:val="0"/>
                                  <w:marTop w:val="0"/>
                                  <w:marBottom w:val="0"/>
                                  <w:divBdr>
                                    <w:top w:val="none" w:sz="0" w:space="0" w:color="auto"/>
                                    <w:left w:val="none" w:sz="0" w:space="0" w:color="auto"/>
                                    <w:bottom w:val="none" w:sz="0" w:space="0" w:color="auto"/>
                                    <w:right w:val="none" w:sz="0" w:space="0" w:color="auto"/>
                                  </w:divBdr>
                                  <w:divsChild>
                                    <w:div w:id="1831867210">
                                      <w:marLeft w:val="0"/>
                                      <w:marRight w:val="0"/>
                                      <w:marTop w:val="0"/>
                                      <w:marBottom w:val="0"/>
                                      <w:divBdr>
                                        <w:top w:val="none" w:sz="0" w:space="0" w:color="auto"/>
                                        <w:left w:val="none" w:sz="0" w:space="0" w:color="auto"/>
                                        <w:bottom w:val="none" w:sz="0" w:space="0" w:color="auto"/>
                                        <w:right w:val="none" w:sz="0" w:space="0" w:color="auto"/>
                                      </w:divBdr>
                                      <w:divsChild>
                                        <w:div w:id="1247036397">
                                          <w:marLeft w:val="0"/>
                                          <w:marRight w:val="0"/>
                                          <w:marTop w:val="0"/>
                                          <w:marBottom w:val="0"/>
                                          <w:divBdr>
                                            <w:top w:val="none" w:sz="0" w:space="0" w:color="auto"/>
                                            <w:left w:val="none" w:sz="0" w:space="0" w:color="auto"/>
                                            <w:bottom w:val="none" w:sz="0" w:space="0" w:color="auto"/>
                                            <w:right w:val="none" w:sz="0" w:space="0" w:color="auto"/>
                                          </w:divBdr>
                                          <w:divsChild>
                                            <w:div w:id="2108234889">
                                              <w:marLeft w:val="0"/>
                                              <w:marRight w:val="0"/>
                                              <w:marTop w:val="0"/>
                                              <w:marBottom w:val="0"/>
                                              <w:divBdr>
                                                <w:top w:val="none" w:sz="0" w:space="0" w:color="auto"/>
                                                <w:left w:val="none" w:sz="0" w:space="0" w:color="auto"/>
                                                <w:bottom w:val="none" w:sz="0" w:space="0" w:color="auto"/>
                                                <w:right w:val="none" w:sz="0" w:space="0" w:color="auto"/>
                                              </w:divBdr>
                                              <w:divsChild>
                                                <w:div w:id="450711801">
                                                  <w:marLeft w:val="0"/>
                                                  <w:marRight w:val="0"/>
                                                  <w:marTop w:val="0"/>
                                                  <w:marBottom w:val="0"/>
                                                  <w:divBdr>
                                                    <w:top w:val="none" w:sz="0" w:space="0" w:color="auto"/>
                                                    <w:left w:val="none" w:sz="0" w:space="0" w:color="auto"/>
                                                    <w:bottom w:val="none" w:sz="0" w:space="0" w:color="auto"/>
                                                    <w:right w:val="none" w:sz="0" w:space="0" w:color="auto"/>
                                                  </w:divBdr>
                                                  <w:divsChild>
                                                    <w:div w:id="927156827">
                                                      <w:marLeft w:val="0"/>
                                                      <w:marRight w:val="0"/>
                                                      <w:marTop w:val="0"/>
                                                      <w:marBottom w:val="0"/>
                                                      <w:divBdr>
                                                        <w:top w:val="none" w:sz="0" w:space="0" w:color="auto"/>
                                                        <w:left w:val="none" w:sz="0" w:space="0" w:color="auto"/>
                                                        <w:bottom w:val="none" w:sz="0" w:space="0" w:color="auto"/>
                                                        <w:right w:val="none" w:sz="0" w:space="0" w:color="auto"/>
                                                      </w:divBdr>
                                                      <w:divsChild>
                                                        <w:div w:id="104583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802904">
                                              <w:marLeft w:val="0"/>
                                              <w:marRight w:val="0"/>
                                              <w:marTop w:val="0"/>
                                              <w:marBottom w:val="0"/>
                                              <w:divBdr>
                                                <w:top w:val="none" w:sz="0" w:space="0" w:color="auto"/>
                                                <w:left w:val="none" w:sz="0" w:space="0" w:color="auto"/>
                                                <w:bottom w:val="none" w:sz="0" w:space="0" w:color="auto"/>
                                                <w:right w:val="none" w:sz="0" w:space="0" w:color="auto"/>
                                              </w:divBdr>
                                              <w:divsChild>
                                                <w:div w:id="1418019946">
                                                  <w:marLeft w:val="0"/>
                                                  <w:marRight w:val="0"/>
                                                  <w:marTop w:val="0"/>
                                                  <w:marBottom w:val="0"/>
                                                  <w:divBdr>
                                                    <w:top w:val="none" w:sz="0" w:space="0" w:color="auto"/>
                                                    <w:left w:val="none" w:sz="0" w:space="0" w:color="auto"/>
                                                    <w:bottom w:val="none" w:sz="0" w:space="0" w:color="auto"/>
                                                    <w:right w:val="none" w:sz="0" w:space="0" w:color="auto"/>
                                                  </w:divBdr>
                                                  <w:divsChild>
                                                    <w:div w:id="1521821544">
                                                      <w:marLeft w:val="0"/>
                                                      <w:marRight w:val="0"/>
                                                      <w:marTop w:val="0"/>
                                                      <w:marBottom w:val="0"/>
                                                      <w:divBdr>
                                                        <w:top w:val="none" w:sz="0" w:space="0" w:color="auto"/>
                                                        <w:left w:val="none" w:sz="0" w:space="0" w:color="auto"/>
                                                        <w:bottom w:val="none" w:sz="0" w:space="0" w:color="auto"/>
                                                        <w:right w:val="none" w:sz="0" w:space="0" w:color="auto"/>
                                                      </w:divBdr>
                                                      <w:divsChild>
                                                        <w:div w:id="90796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90004834">
          <w:marLeft w:val="0"/>
          <w:marRight w:val="0"/>
          <w:marTop w:val="0"/>
          <w:marBottom w:val="0"/>
          <w:divBdr>
            <w:top w:val="none" w:sz="0" w:space="0" w:color="auto"/>
            <w:left w:val="none" w:sz="0" w:space="0" w:color="auto"/>
            <w:bottom w:val="none" w:sz="0" w:space="0" w:color="auto"/>
            <w:right w:val="none" w:sz="0" w:space="0" w:color="auto"/>
          </w:divBdr>
          <w:divsChild>
            <w:div w:id="1359550247">
              <w:marLeft w:val="0"/>
              <w:marRight w:val="0"/>
              <w:marTop w:val="0"/>
              <w:marBottom w:val="0"/>
              <w:divBdr>
                <w:top w:val="none" w:sz="0" w:space="0" w:color="auto"/>
                <w:left w:val="none" w:sz="0" w:space="0" w:color="auto"/>
                <w:bottom w:val="none" w:sz="0" w:space="0" w:color="auto"/>
                <w:right w:val="none" w:sz="0" w:space="0" w:color="auto"/>
              </w:divBdr>
              <w:divsChild>
                <w:div w:id="986208865">
                  <w:marLeft w:val="0"/>
                  <w:marRight w:val="0"/>
                  <w:marTop w:val="0"/>
                  <w:marBottom w:val="0"/>
                  <w:divBdr>
                    <w:top w:val="none" w:sz="0" w:space="0" w:color="auto"/>
                    <w:left w:val="none" w:sz="0" w:space="0" w:color="auto"/>
                    <w:bottom w:val="none" w:sz="0" w:space="0" w:color="auto"/>
                    <w:right w:val="none" w:sz="0" w:space="0" w:color="auto"/>
                  </w:divBdr>
                  <w:divsChild>
                    <w:div w:id="109879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2</Pages>
  <Words>697</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Vijayarangan Pandurengadurai Raju</cp:lastModifiedBy>
  <cp:revision>6</cp:revision>
  <dcterms:created xsi:type="dcterms:W3CDTF">2024-08-28T13:22:00Z</dcterms:created>
  <dcterms:modified xsi:type="dcterms:W3CDTF">2024-08-28T16:53:00Z</dcterms:modified>
</cp:coreProperties>
</file>