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Employee Expense Policy</w:t>
      </w:r>
    </w:p>
    <w:p>
      <w:pPr>
        <w:pStyle w:val="Subtitle"/>
      </w:pPr>
      <w:r>
        <w:t>Acme Bank</w:t>
        <w:br/>
        <w:t>Department: Finance</w:t>
        <w:br/>
        <w:t>Access Level: staff</w:t>
      </w:r>
    </w:p>
    <w:p>
      <w:r>
        <w:t>This fictional Acme Bank policy defines the rule, the responsible role, and the action expected from staff. It is intended only for RAG evaluation and training.</w:t>
      </w:r>
    </w:p>
    <w:p>
      <w:pPr>
        <w:pStyle w:val="Heading1"/>
      </w:pPr>
      <w:r>
        <w:t>Meal limit</w:t>
      </w:r>
    </w:p>
    <w:p>
      <w:r>
        <w:t>Employees may claim up to INR 1,500 per day for business meals when supported by an itemized receipt.</w:t>
      </w:r>
    </w:p>
    <w:p>
      <w:pPr>
        <w:pStyle w:val="Heading1"/>
      </w:pPr>
      <w:r>
        <w:t>Receipt rule</w:t>
      </w:r>
    </w:p>
    <w:p>
      <w:r>
        <w:t>Receipts are required for every expense above INR 500. Expenses must be submitted within 30 days of the transaction date.</w:t>
      </w:r>
    </w:p>
    <w:p>
      <w:pPr>
        <w:pStyle w:val="Heading1"/>
      </w:pPr>
      <w:r>
        <w:t>Approvals</w:t>
      </w:r>
    </w:p>
    <w:p>
      <w:r>
        <w:t>A manager approves employee claims and Finance approves claims above INR 25,000.</w:t>
      </w:r>
    </w:p>
    <w:p>
      <w:r>
        <w:t>Document control: Acme Bank training corpus | Version 1.0 | All dates and rules are fictional.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