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Remote Work Policy</w:t>
      </w:r>
    </w:p>
    <w:p>
      <w:pPr>
        <w:pStyle w:val="Subtitle"/>
      </w:pPr>
      <w:r>
        <w:t>Acme Bank</w:t>
        <w:br/>
        <w:t>Department: HR</w:t>
        <w:br/>
        <w:t>Access Level: staff</w:t>
      </w:r>
    </w:p>
    <w:p>
      <w:r>
        <w:t>This fictional Acme Bank policy defines the rule, the responsible role, and the action expected from staff. It is intended only for RAG evaluation and training.</w:t>
      </w:r>
    </w:p>
    <w:p>
      <w:pPr>
        <w:pStyle w:val="Heading1"/>
      </w:pPr>
      <w:r>
        <w:t>Eligibility</w:t>
      </w:r>
    </w:p>
    <w:p>
      <w:r>
        <w:t>Hybrid eligible employees may work remotely up to two days each week with manager agreement.</w:t>
      </w:r>
    </w:p>
    <w:p>
      <w:pPr>
        <w:pStyle w:val="Heading1"/>
      </w:pPr>
      <w:r>
        <w:t>Security</w:t>
      </w:r>
    </w:p>
    <w:p>
      <w:r>
        <w:t>Remote workers must use the Acme Bank managed device, approved VPN, and a private workspace that prevents customer information from being viewed by others.</w:t>
      </w:r>
    </w:p>
    <w:p>
      <w:pPr>
        <w:pStyle w:val="Heading1"/>
      </w:pPr>
      <w:r>
        <w:t>Location</w:t>
      </w:r>
    </w:p>
    <w:p>
      <w:r>
        <w:t>Employees must obtain manager approval before working outside their assigned country.</w:t>
      </w:r>
    </w:p>
    <w:p>
      <w:r>
        <w:t>Document control: Acme Bank training corpus | Version 1.0 | All dates and rules are fictional.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