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Anti Harassment Policy</w:t>
      </w:r>
    </w:p>
    <w:p>
      <w:pPr>
        <w:pStyle w:val="Subtitle"/>
      </w:pPr>
      <w:r>
        <w:t>Acme Bank</w:t>
        <w:br/>
        <w:t>Department: HR</w:t>
        <w:br/>
        <w:t>Access Level: staff</w:t>
      </w:r>
    </w:p>
    <w:p>
      <w:r>
        <w:t>This fictional Acme Bank policy defines the rule, the responsible role, and the action expected from staff. It is intended only for RAG evaluation and training.</w:t>
      </w:r>
    </w:p>
    <w:p>
      <w:pPr>
        <w:pStyle w:val="Heading1"/>
      </w:pPr>
      <w:r>
        <w:t>Reporting</w:t>
      </w:r>
    </w:p>
    <w:p>
      <w:r>
        <w:t>Employees can report concerns to their manager, HR, or the confidential Ethics Line.</w:t>
      </w:r>
    </w:p>
    <w:p>
      <w:pPr>
        <w:pStyle w:val="Heading1"/>
      </w:pPr>
      <w:r>
        <w:t>Non retaliation</w:t>
      </w:r>
    </w:p>
    <w:p>
      <w:r>
        <w:t>Acme Bank prohibits retaliation against a person who raises a concern in good faith or participates in an investigation.</w:t>
      </w:r>
    </w:p>
    <w:p>
      <w:pPr>
        <w:pStyle w:val="Heading1"/>
      </w:pPr>
      <w:r>
        <w:t>Investigation</w:t>
      </w:r>
    </w:p>
    <w:p>
      <w:r>
        <w:t>HR acknowledges a report within two business days and keeps information limited to people who need to know.</w:t>
      </w:r>
    </w:p>
    <w:p>
      <w:r>
        <w:t>Document control: Acme Bank training corpus | Version 1.0 | All dates and rules are fictional.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