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Code of Conduct</w:t>
      </w:r>
    </w:p>
    <w:p>
      <w:pPr>
        <w:pStyle w:val="Subtitle"/>
      </w:pPr>
      <w:r>
        <w:t>Acme Bank</w:t>
        <w:br/>
        <w:t>Department: Legal</w:t>
        <w:br/>
        <w:t>Access Level: staff</w:t>
      </w:r>
    </w:p>
    <w:p>
      <w:r>
        <w:t>This fictional Acme Bank policy defines the rule, the responsible role, and the action expected from staff. It is intended only for RAG evaluation and training.</w:t>
      </w:r>
    </w:p>
    <w:p>
      <w:pPr>
        <w:pStyle w:val="Heading1"/>
      </w:pPr>
      <w:r>
        <w:t>Conflicts</w:t>
      </w:r>
    </w:p>
    <w:p>
      <w:r>
        <w:t>Employees must disclose an actual or potential conflict of interest within five business days of becoming aware of it.</w:t>
      </w:r>
    </w:p>
    <w:p>
      <w:pPr>
        <w:pStyle w:val="Heading1"/>
      </w:pPr>
      <w:r>
        <w:t>Gifts</w:t>
      </w:r>
    </w:p>
    <w:p>
      <w:r>
        <w:t>Employees may not accept cash or cash equivalents. Non cash gifts above INR 2,000 must be declared to Compliance.</w:t>
      </w:r>
    </w:p>
    <w:p>
      <w:pPr>
        <w:pStyle w:val="Heading1"/>
      </w:pPr>
      <w:r>
        <w:t>Respect</w:t>
      </w:r>
    </w:p>
    <w:p>
      <w:r>
        <w:t>Harassment, discrimination, retaliation, and abusive conduct are prohibited in every work setting.</w:t>
      </w:r>
    </w:p>
    <w:p>
      <w:r>
        <w:t>Document control: Acme Bank training corpus | Version 1.0 | All dates and rules are fictional.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