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HR Employee Handbook</w:t>
      </w:r>
    </w:p>
    <w:p>
      <w:pPr>
        <w:pStyle w:val="Subtitle"/>
      </w:pPr>
      <w:r>
        <w:t>Acme Bank</w:t>
        <w:br/>
        <w:t>Department: HR</w:t>
        <w:br/>
        <w:t>Access Level: staff</w:t>
      </w:r>
    </w:p>
    <w:p>
      <w:r>
        <w:t>This fictional Acme Bank policy defines the rule, the responsible role, and the action expected from staff. It is intended only for RAG evaluation and training.</w:t>
      </w:r>
    </w:p>
    <w:p>
      <w:pPr>
        <w:pStyle w:val="Heading1"/>
      </w:pPr>
      <w:r>
        <w:t>Probation</w:t>
      </w:r>
    </w:p>
    <w:p>
      <w:r>
        <w:t>New employees complete a six month probation period. The manager documents a confirmation, extension, or separation decision before the final week.</w:t>
      </w:r>
    </w:p>
    <w:p>
      <w:pPr>
        <w:pStyle w:val="Heading1"/>
      </w:pPr>
      <w:r>
        <w:t>Work hours</w:t>
      </w:r>
    </w:p>
    <w:p>
      <w:r>
        <w:t>Standard office hours are 9:30 AM to 6:00 PM Monday through Friday. Teams may use approved flexible schedules while maintaining service coverage.</w:t>
      </w:r>
    </w:p>
    <w:p>
      <w:pPr>
        <w:pStyle w:val="Heading1"/>
      </w:pPr>
      <w:r>
        <w:t>Employee records</w:t>
      </w:r>
    </w:p>
    <w:p>
      <w:r>
        <w:t>Employees must update their emergency contact and home address within five business days of a change.</w:t>
      </w:r>
    </w:p>
    <w:p>
      <w:r>
        <w:t>Document control: Acme Bank training corpus | Version 1.0 | All dates and rules are fictional.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