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Leave Policy</w:t>
      </w:r>
    </w:p>
    <w:p>
      <w:pPr>
        <w:pStyle w:val="Subtitle"/>
      </w:pPr>
      <w:r>
        <w:t>Acme Bank</w:t>
        <w:br/>
        <w:t>Department: HR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Annual leave</w:t>
      </w:r>
    </w:p>
    <w:p>
      <w:r>
        <w:t>Full time employees receive 18 days of annual leave per calendar year. Up to 5 unused days carry forward to the next year.</w:t>
      </w:r>
    </w:p>
    <w:p>
      <w:pPr>
        <w:pStyle w:val="Heading1"/>
      </w:pPr>
      <w:r>
        <w:t>Sick leave</w:t>
      </w:r>
    </w:p>
    <w:p>
      <w:r>
        <w:t>Employees receive 10 paid sick leave days each calendar year. A medical certificate is required when absence exceeds three consecutive working days.</w:t>
      </w:r>
    </w:p>
    <w:p>
      <w:pPr>
        <w:pStyle w:val="Heading1"/>
      </w:pPr>
      <w:r>
        <w:t>Approval</w:t>
      </w:r>
    </w:p>
    <w:p>
      <w:r>
        <w:t>Leave requests longer than three working days require manager approval before travel is booked.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