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Performance Management Policy</w:t>
      </w:r>
    </w:p>
    <w:p>
      <w:pPr>
        <w:pStyle w:val="Subtitle"/>
      </w:pPr>
      <w:r>
        <w:t>Acme Bank</w:t>
        <w:br/>
        <w:t>Department: HR</w:t>
        <w:br/>
        <w:t>Access Level: manager</w:t>
      </w:r>
    </w:p>
    <w:p>
      <w:r>
        <w:t>This fictional Acme Bank policy defines the rule, the responsible role, and the action expected from staff. It is intended only for RAG evaluation and training.</w:t>
      </w:r>
    </w:p>
    <w:p>
      <w:pPr>
        <w:pStyle w:val="Heading1"/>
      </w:pPr>
      <w:r>
        <w:t>Review cycle</w:t>
      </w:r>
    </w:p>
    <w:p>
      <w:r>
        <w:t>Performance reviews take place in June and December. Managers record goals, evidence, and ratings in the People Portal.</w:t>
      </w:r>
    </w:p>
    <w:p>
      <w:pPr>
        <w:pStyle w:val="Heading1"/>
      </w:pPr>
      <w:r>
        <w:t>Ratings</w:t>
      </w:r>
    </w:p>
    <w:p>
      <w:r>
        <w:t>The five rating labels are Outstanding, Exceeds Expectations, Meets Expectations, Developing, and Unsatisfactory.</w:t>
      </w:r>
    </w:p>
    <w:p>
      <w:pPr>
        <w:pStyle w:val="Heading1"/>
      </w:pPr>
      <w:r>
        <w:t>Improvement plans</w:t>
      </w:r>
    </w:p>
    <w:p>
      <w:r>
        <w:t>A performance improvement plan normally runs for 60 days and includes weekly manager check ins.</w:t>
      </w:r>
    </w:p>
    <w:p>
      <w:r>
        <w:t>Document control: Acme Bank training corpus | Version 1.0 | All dates and rules are fictional.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