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6733" w14:textId="4142A5AF" w:rsidR="00C46930" w:rsidRPr="00CD0FE7" w:rsidRDefault="00621BBF">
      <w:pPr>
        <w:rPr>
          <w:rFonts w:ascii="Century Gothic" w:hAnsi="Century Gothic"/>
          <w:sz w:val="20"/>
          <w:szCs w:val="20"/>
        </w:rPr>
      </w:pPr>
      <w:r w:rsidRPr="00CD0FE7">
        <w:rPr>
          <w:rFonts w:ascii="Century Gothic" w:hAnsi="Century Gothic"/>
          <w:sz w:val="20"/>
          <w:szCs w:val="20"/>
          <w:lang w:val="en-US"/>
        </w:rPr>
        <w:t xml:space="preserve">Link - </w:t>
      </w:r>
      <w:hyperlink r:id="rId7" w:tgtFrame="_blank" w:tooltip="Original URL: https://www.csnews.com/bp-leans-convenience-retailing-following-thorntons-deal. Click or tap if you trust this link." w:history="1">
        <w:r w:rsidRPr="00CD0FE7">
          <w:rPr>
            <w:rStyle w:val="Hyperlink"/>
            <w:rFonts w:ascii="Century Gothic" w:hAnsi="Century Gothic"/>
            <w:color w:val="0563C1"/>
            <w:sz w:val="20"/>
            <w:szCs w:val="20"/>
            <w:bdr w:val="none" w:sz="0" w:space="0" w:color="auto" w:frame="1"/>
            <w:shd w:val="clear" w:color="auto" w:fill="FFFFFF"/>
          </w:rPr>
          <w:t>https://www.csnews.com/bp-leans-convenience-retailing-following-thorntons-deal</w:t>
        </w:r>
      </w:hyperlink>
    </w:p>
    <w:p w14:paraId="68F10E3A" w14:textId="45CD0ED3" w:rsidR="00621BBF" w:rsidRPr="00CD0FE7" w:rsidRDefault="00621BBF">
      <w:pPr>
        <w:rPr>
          <w:rFonts w:ascii="Century Gothic" w:hAnsi="Century Gothic"/>
          <w:sz w:val="20"/>
          <w:szCs w:val="20"/>
        </w:rPr>
      </w:pPr>
      <w:r w:rsidRPr="00CD0FE7">
        <w:rPr>
          <w:rFonts w:ascii="Century Gothic" w:hAnsi="Century Gothic"/>
          <w:sz w:val="20"/>
          <w:szCs w:val="20"/>
        </w:rPr>
        <w:t>Article:</w:t>
      </w:r>
    </w:p>
    <w:p w14:paraId="5292DAE5"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sz w:val="20"/>
          <w:szCs w:val="20"/>
        </w:rPr>
        <w:tab/>
      </w:r>
      <w:r w:rsidRPr="00CD0FE7">
        <w:rPr>
          <w:rFonts w:ascii="Century Gothic" w:hAnsi="Century Gothic" w:cs="Open Sans"/>
          <w:color w:val="222222"/>
          <w:sz w:val="20"/>
          <w:szCs w:val="20"/>
        </w:rPr>
        <w:t>BP has had a steady presence in the convenience channel with its </w:t>
      </w:r>
      <w:proofErr w:type="spellStart"/>
      <w:r w:rsidRPr="00CD0FE7">
        <w:rPr>
          <w:rStyle w:val="Emphasis"/>
          <w:rFonts w:ascii="Century Gothic" w:hAnsi="Century Gothic" w:cs="Open Sans"/>
          <w:color w:val="222222"/>
          <w:sz w:val="20"/>
          <w:szCs w:val="20"/>
        </w:rPr>
        <w:t>ampm</w:t>
      </w:r>
      <w:proofErr w:type="spellEnd"/>
      <w:r w:rsidRPr="00CD0FE7">
        <w:rPr>
          <w:rFonts w:ascii="Century Gothic" w:hAnsi="Century Gothic" w:cs="Open Sans"/>
          <w:color w:val="222222"/>
          <w:sz w:val="20"/>
          <w:szCs w:val="20"/>
        </w:rPr>
        <w:t xml:space="preserve"> banner on the West Coast. Three years ago, it entered a joint venture with </w:t>
      </w:r>
      <w:proofErr w:type="spellStart"/>
      <w:r w:rsidRPr="00CD0FE7">
        <w:rPr>
          <w:rFonts w:ascii="Century Gothic" w:hAnsi="Century Gothic" w:cs="Open Sans"/>
          <w:color w:val="222222"/>
          <w:sz w:val="20"/>
          <w:szCs w:val="20"/>
        </w:rPr>
        <w:t>ArcLight</w:t>
      </w:r>
      <w:proofErr w:type="spellEnd"/>
      <w:r w:rsidRPr="00CD0FE7">
        <w:rPr>
          <w:rFonts w:ascii="Century Gothic" w:hAnsi="Century Gothic" w:cs="Open Sans"/>
          <w:color w:val="222222"/>
          <w:sz w:val="20"/>
          <w:szCs w:val="20"/>
        </w:rPr>
        <w:t xml:space="preserve"> Capital Partners to acquire Thorntons, the roughly 200-store chain based in Louisville, Ky.</w:t>
      </w:r>
    </w:p>
    <w:p w14:paraId="66E477ED"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Fast forward to 2021, and BP ramped up its presence in the channel when it bought out </w:t>
      </w:r>
      <w:proofErr w:type="spellStart"/>
      <w:r w:rsidRPr="00CD0FE7">
        <w:rPr>
          <w:rFonts w:ascii="Century Gothic" w:hAnsi="Century Gothic" w:cs="Open Sans"/>
          <w:color w:val="222222"/>
          <w:sz w:val="20"/>
          <w:szCs w:val="20"/>
        </w:rPr>
        <w:t>ArcLight</w:t>
      </w:r>
      <w:proofErr w:type="spellEnd"/>
      <w:r w:rsidRPr="00CD0FE7">
        <w:rPr>
          <w:rFonts w:ascii="Century Gothic" w:hAnsi="Century Gothic" w:cs="Open Sans"/>
          <w:color w:val="222222"/>
          <w:sz w:val="20"/>
          <w:szCs w:val="20"/>
        </w:rPr>
        <w:t xml:space="preserve"> Capital to become </w:t>
      </w:r>
      <w:hyperlink r:id="rId8" w:history="1">
        <w:r w:rsidRPr="00CD0FE7">
          <w:rPr>
            <w:rStyle w:val="Hyperlink"/>
            <w:rFonts w:ascii="Century Gothic" w:hAnsi="Century Gothic" w:cs="Open Sans"/>
            <w:sz w:val="20"/>
            <w:szCs w:val="20"/>
          </w:rPr>
          <w:t>the sole owner</w:t>
        </w:r>
      </w:hyperlink>
      <w:r w:rsidRPr="00CD0FE7">
        <w:rPr>
          <w:rFonts w:ascii="Century Gothic" w:hAnsi="Century Gothic" w:cs="Open Sans"/>
          <w:color w:val="222222"/>
          <w:sz w:val="20"/>
          <w:szCs w:val="20"/>
        </w:rPr>
        <w:t> of Thorntons — giving it a solid foothold outside of its existing five-state footprint along the Pacific Coast.</w:t>
      </w:r>
    </w:p>
    <w:p w14:paraId="65D9BF26"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Ownership of the Thorntons chain falls in line with BP's current three-prong focus: resilient hydrocarbons, convenience and mobility, and low carbon energy, according to Greg Franks, senior vice president of mobility and convenience, Americas.</w:t>
      </w:r>
    </w:p>
    <w:p w14:paraId="6D86FEE7"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Style w:val="Emphasis"/>
          <w:rFonts w:ascii="Century Gothic" w:hAnsi="Century Gothic" w:cs="Open Sans"/>
          <w:color w:val="222222"/>
          <w:sz w:val="20"/>
          <w:szCs w:val="20"/>
        </w:rPr>
        <w:t>Convenience Store News</w:t>
      </w:r>
      <w:r w:rsidRPr="00CD0FE7">
        <w:rPr>
          <w:rFonts w:ascii="Century Gothic" w:hAnsi="Century Gothic" w:cs="Open Sans"/>
          <w:color w:val="222222"/>
          <w:sz w:val="20"/>
          <w:szCs w:val="20"/>
        </w:rPr>
        <w:t> had the opportunity to meet with Franks and several other executives with BP and the BP Amoco Marketers Association (BPAMA) at the recent BPAMA Convention and Business Expo in San Antonio, held March 8.</w:t>
      </w:r>
    </w:p>
    <w:p w14:paraId="6EEDC58C"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As Franks explained, BP will always sell fuel, but the company also wants to grow its convenience store network and embrace the coming changes in the mobility landscape as it looks to diversify its business.</w:t>
      </w:r>
    </w:p>
    <w:p w14:paraId="32C07FC6"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8A8A8A"/>
          <w:sz w:val="20"/>
          <w:szCs w:val="20"/>
        </w:rPr>
      </w:pPr>
      <w:r w:rsidRPr="00CD0FE7">
        <w:rPr>
          <w:rFonts w:ascii="Century Gothic" w:hAnsi="Century Gothic" w:cs="Open Sans"/>
          <w:color w:val="8A8A8A"/>
          <w:sz w:val="20"/>
          <w:szCs w:val="20"/>
        </w:rPr>
        <w:t>"If you have a strong backcourt and a strong forecourt, you will have a strong business," he said.</w:t>
      </w:r>
    </w:p>
    <w:p w14:paraId="1DF2A8C5"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BP completed its acquisition of Thorntons in September 2021 and is currently working through the integration process. The chain has great customer service and a good end-to-end program, noted Franks. </w:t>
      </w:r>
    </w:p>
    <w:p w14:paraId="01415F3E"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"It gives us the capability, along with </w:t>
      </w:r>
      <w:proofErr w:type="spellStart"/>
      <w:r w:rsidRPr="00CD0FE7">
        <w:rPr>
          <w:rStyle w:val="Emphasis"/>
          <w:rFonts w:ascii="Century Gothic" w:hAnsi="Century Gothic" w:cs="Open Sans"/>
          <w:color w:val="222222"/>
          <w:sz w:val="20"/>
          <w:szCs w:val="20"/>
        </w:rPr>
        <w:t>ampm</w:t>
      </w:r>
      <w:proofErr w:type="spellEnd"/>
      <w:r w:rsidRPr="00CD0FE7">
        <w:rPr>
          <w:rFonts w:ascii="Century Gothic" w:hAnsi="Century Gothic" w:cs="Open Sans"/>
          <w:color w:val="222222"/>
          <w:sz w:val="20"/>
          <w:szCs w:val="20"/>
        </w:rPr>
        <w:t>, to think about how we want to grow convenience throughout our network," he added.</w:t>
      </w:r>
    </w:p>
    <w:p w14:paraId="43EF808D"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While working through the integration, BP is keeping an eye out for best practices to share. For example, the company is opening up Thorntons' E15 offer to its broader network. "The marketers asked for this. It's a great example of listening to our customers (marketers) who continue to invest in fuels as consumer demand changes," explained Lisa Blalock, vice president of marketing, mobility and convenience, Americas.</w:t>
      </w:r>
    </w:p>
    <w:p w14:paraId="56236F73"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With the energy transition coming, BP is committed to helping its marketers by investing, </w:t>
      </w:r>
      <w:proofErr w:type="gramStart"/>
      <w:r w:rsidRPr="00CD0FE7">
        <w:rPr>
          <w:rFonts w:ascii="Century Gothic" w:hAnsi="Century Gothic" w:cs="Open Sans"/>
          <w:color w:val="222222"/>
          <w:sz w:val="20"/>
          <w:szCs w:val="20"/>
        </w:rPr>
        <w:t>innovating</w:t>
      </w:r>
      <w:proofErr w:type="gramEnd"/>
      <w:r w:rsidRPr="00CD0FE7">
        <w:rPr>
          <w:rFonts w:ascii="Century Gothic" w:hAnsi="Century Gothic" w:cs="Open Sans"/>
          <w:color w:val="222222"/>
          <w:sz w:val="20"/>
          <w:szCs w:val="20"/>
        </w:rPr>
        <w:t xml:space="preserve"> and marketing. Despite the changes in the mobility landscape, Franks still foresees strong fuel demand in 2040. "But we still want to understand the EV demand and we want to help our customers, our marketers, be able to meet the demand," he said. </w:t>
      </w:r>
    </w:p>
    <w:p w14:paraId="287765FF" w14:textId="77777777" w:rsidR="00621BBF" w:rsidRPr="00CD0FE7" w:rsidRDefault="00621BBF" w:rsidP="00621BBF">
      <w:pPr>
        <w:pStyle w:val="Heading3"/>
        <w:shd w:val="clear" w:color="auto" w:fill="FFFFFF"/>
        <w:spacing w:before="0" w:beforeAutospacing="0" w:after="0" w:afterAutospacing="0"/>
        <w:rPr>
          <w:rFonts w:ascii="Century Gothic" w:hAnsi="Century Gothic" w:cs="Open Sans"/>
          <w:color w:val="222222"/>
          <w:sz w:val="20"/>
          <w:szCs w:val="20"/>
        </w:rPr>
      </w:pPr>
      <w:r w:rsidRPr="00CD0FE7">
        <w:rPr>
          <w:rFonts w:ascii="Century Gothic" w:hAnsi="Century Gothic" w:cs="Open Sans"/>
          <w:color w:val="222222"/>
          <w:sz w:val="20"/>
          <w:szCs w:val="20"/>
        </w:rPr>
        <w:t>Working With Its Marketers</w:t>
      </w:r>
    </w:p>
    <w:p w14:paraId="0790AB9A"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Approximately 95 percent of the oil company's network runs through branded marketers, many of whom are multi-generational. </w:t>
      </w:r>
    </w:p>
    <w:p w14:paraId="5413DCC1"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In addition to the association's meetings every two years — which bring out several corporate leaders — BP meets with BPAMA members often to understand the pain points of its marketers, according to Blalock.</w:t>
      </w:r>
    </w:p>
    <w:p w14:paraId="1908BF98"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"We are the fuel supplier of choice for our marketers, who work to meet the convenience and fuel needs of the consumer," she said. "How can we bring these tools and capabilities to them to grow their business and meet their customers' needs?"</w:t>
      </w:r>
    </w:p>
    <w:p w14:paraId="7FAAD7C6"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lastRenderedPageBreak/>
        <w:t>Tim Corrigan, co-owner of Michigan-based Corrigan Oil and chair of BPAMA, is just one of many marketers that runs a family business. When asked about the challenges facing marketers today, he said the biggest one is how to stay relevant and profitable.</w:t>
      </w:r>
    </w:p>
    <w:p w14:paraId="5824B18D"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That goes </w:t>
      </w:r>
      <w:proofErr w:type="gramStart"/>
      <w:r w:rsidRPr="00CD0FE7">
        <w:rPr>
          <w:rFonts w:ascii="Century Gothic" w:hAnsi="Century Gothic" w:cs="Open Sans"/>
          <w:color w:val="222222"/>
          <w:sz w:val="20"/>
          <w:szCs w:val="20"/>
        </w:rPr>
        <w:t>hand-in-hand</w:t>
      </w:r>
      <w:proofErr w:type="gramEnd"/>
      <w:r w:rsidRPr="00CD0FE7">
        <w:rPr>
          <w:rFonts w:ascii="Century Gothic" w:hAnsi="Century Gothic" w:cs="Open Sans"/>
          <w:color w:val="222222"/>
          <w:sz w:val="20"/>
          <w:szCs w:val="20"/>
        </w:rPr>
        <w:t xml:space="preserve"> with another obstacle: technology, Jack Allard, executive director of BPAMA since 2014, told </w:t>
      </w:r>
      <w:proofErr w:type="spellStart"/>
      <w:r w:rsidRPr="00CD0FE7">
        <w:rPr>
          <w:rStyle w:val="Emphasis"/>
          <w:rFonts w:ascii="Century Gothic" w:hAnsi="Century Gothic" w:cs="Open Sans"/>
          <w:color w:val="222222"/>
          <w:sz w:val="20"/>
          <w:szCs w:val="20"/>
        </w:rPr>
        <w:t>CSNews</w:t>
      </w:r>
      <w:proofErr w:type="spellEnd"/>
      <w:r w:rsidRPr="00CD0FE7">
        <w:rPr>
          <w:rFonts w:ascii="Century Gothic" w:hAnsi="Century Gothic" w:cs="Open Sans"/>
          <w:color w:val="222222"/>
          <w:sz w:val="20"/>
          <w:szCs w:val="20"/>
        </w:rPr>
        <w:t>.</w:t>
      </w:r>
    </w:p>
    <w:p w14:paraId="12BC5A59"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8A8A8A"/>
          <w:sz w:val="20"/>
          <w:szCs w:val="20"/>
        </w:rPr>
      </w:pPr>
      <w:r w:rsidRPr="00CD0FE7">
        <w:rPr>
          <w:rFonts w:ascii="Century Gothic" w:hAnsi="Century Gothic" w:cs="Open Sans"/>
          <w:color w:val="8A8A8A"/>
          <w:sz w:val="20"/>
          <w:szCs w:val="20"/>
        </w:rPr>
        <w:t>"The industry is changing so rapidly. Technology touches everything: EV, scanners inside the store, loyalty programs — how consumers access convenience," he said. "How do our marketers stay abreast of the changes?"</w:t>
      </w:r>
    </w:p>
    <w:p w14:paraId="5EE2BFED"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BP and Amoco marketers come in all shapes and sizes. "Using technology as an example, they all handle it different ways. It's also difficult to predict what's coming next," Allard explained.</w:t>
      </w:r>
    </w:p>
    <w:p w14:paraId="3BE9DEC2"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proofErr w:type="spellStart"/>
      <w:r w:rsidRPr="00CD0FE7">
        <w:rPr>
          <w:rFonts w:ascii="Century Gothic" w:hAnsi="Century Gothic" w:cs="Open Sans"/>
          <w:color w:val="222222"/>
          <w:sz w:val="20"/>
          <w:szCs w:val="20"/>
        </w:rPr>
        <w:t>Labor</w:t>
      </w:r>
      <w:proofErr w:type="spellEnd"/>
      <w:r w:rsidRPr="00CD0FE7">
        <w:rPr>
          <w:rFonts w:ascii="Century Gothic" w:hAnsi="Century Gothic" w:cs="Open Sans"/>
          <w:color w:val="222222"/>
          <w:sz w:val="20"/>
          <w:szCs w:val="20"/>
        </w:rPr>
        <w:t xml:space="preserve"> is another pain point, according to Corrigan, and one BP is addressing with a few new solutions for its marketers. "The </w:t>
      </w:r>
      <w:proofErr w:type="spellStart"/>
      <w:r w:rsidRPr="00CD0FE7">
        <w:rPr>
          <w:rFonts w:ascii="Century Gothic" w:hAnsi="Century Gothic" w:cs="Open Sans"/>
          <w:color w:val="222222"/>
          <w:sz w:val="20"/>
          <w:szCs w:val="20"/>
        </w:rPr>
        <w:t>labor</w:t>
      </w:r>
      <w:proofErr w:type="spellEnd"/>
      <w:r w:rsidRPr="00CD0FE7">
        <w:rPr>
          <w:rFonts w:ascii="Century Gothic" w:hAnsi="Century Gothic" w:cs="Open Sans"/>
          <w:color w:val="222222"/>
          <w:sz w:val="20"/>
          <w:szCs w:val="20"/>
        </w:rPr>
        <w:t xml:space="preserve"> pool, in general, is a challenge and will be for the foreseeable future," he said. "The new </w:t>
      </w:r>
      <w:proofErr w:type="spellStart"/>
      <w:r w:rsidRPr="00CD0FE7">
        <w:rPr>
          <w:rFonts w:ascii="Century Gothic" w:hAnsi="Century Gothic" w:cs="Open Sans"/>
          <w:color w:val="222222"/>
          <w:sz w:val="20"/>
          <w:szCs w:val="20"/>
        </w:rPr>
        <w:t>Grabango</w:t>
      </w:r>
      <w:proofErr w:type="spellEnd"/>
      <w:r w:rsidRPr="00CD0FE7">
        <w:rPr>
          <w:rFonts w:ascii="Century Gothic" w:hAnsi="Century Gothic" w:cs="Open Sans"/>
          <w:color w:val="222222"/>
          <w:sz w:val="20"/>
          <w:szCs w:val="20"/>
        </w:rPr>
        <w:t xml:space="preserve"> program is a game-changer. It takes the pressure off the </w:t>
      </w:r>
      <w:proofErr w:type="spellStart"/>
      <w:r w:rsidRPr="00CD0FE7">
        <w:rPr>
          <w:rFonts w:ascii="Century Gothic" w:hAnsi="Century Gothic" w:cs="Open Sans"/>
          <w:color w:val="222222"/>
          <w:sz w:val="20"/>
          <w:szCs w:val="20"/>
        </w:rPr>
        <w:t>labor</w:t>
      </w:r>
      <w:proofErr w:type="spellEnd"/>
      <w:r w:rsidRPr="00CD0FE7">
        <w:rPr>
          <w:rFonts w:ascii="Century Gothic" w:hAnsi="Century Gothic" w:cs="Open Sans"/>
          <w:color w:val="222222"/>
          <w:sz w:val="20"/>
          <w:szCs w:val="20"/>
        </w:rPr>
        <w:t xml:space="preserve"> pool. That's the type of collaboration between BP and BPAMA. Everyone is excited about it."</w:t>
      </w:r>
    </w:p>
    <w:p w14:paraId="16139564"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Allard agrees there is potential there and, more importantly, says the contactless shopping experience is one that convenience store customers want.</w:t>
      </w:r>
    </w:p>
    <w:p w14:paraId="0856D9CD" w14:textId="77777777" w:rsidR="00621BBF" w:rsidRPr="00CD0FE7" w:rsidRDefault="00621BBF" w:rsidP="00621BBF">
      <w:pPr>
        <w:pStyle w:val="Heading3"/>
        <w:shd w:val="clear" w:color="auto" w:fill="FFFFFF"/>
        <w:spacing w:before="0" w:beforeAutospacing="0" w:after="0" w:afterAutospacing="0"/>
        <w:rPr>
          <w:rFonts w:ascii="Century Gothic" w:hAnsi="Century Gothic" w:cs="Open Sans"/>
          <w:color w:val="222222"/>
          <w:sz w:val="20"/>
          <w:szCs w:val="20"/>
        </w:rPr>
      </w:pPr>
      <w:r w:rsidRPr="00CD0FE7">
        <w:rPr>
          <w:rFonts w:ascii="Century Gothic" w:hAnsi="Century Gothic" w:cs="Open Sans"/>
          <w:color w:val="222222"/>
          <w:sz w:val="20"/>
          <w:szCs w:val="20"/>
        </w:rPr>
        <w:t>Seen on the BPAMA Expo Floor</w:t>
      </w:r>
    </w:p>
    <w:p w14:paraId="06EE30FE"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Along with a slate of speakers, the BPAMA convention also showcased new initiatives that will give BP's branded marketers opportunities to respond to current and emerging consumer trends, and access benefits based on the company's scale.</w:t>
      </w:r>
    </w:p>
    <w:p w14:paraId="7ADA377E" w14:textId="5ED65AD5" w:rsidR="00621BBF" w:rsidRPr="00CD0FE7" w:rsidRDefault="00621BBF" w:rsidP="00621BBF">
      <w:pPr>
        <w:pStyle w:val="carousel-slide"/>
        <w:numPr>
          <w:ilvl w:val="0"/>
          <w:numId w:val="1"/>
        </w:numPr>
        <w:shd w:val="clear" w:color="auto" w:fill="FFFFFF"/>
        <w:spacing w:before="0" w:beforeAutospacing="0" w:after="48" w:afterAutospacing="0"/>
        <w:ind w:right="225"/>
        <w:rPr>
          <w:rFonts w:ascii="Century Gothic" w:hAnsi="Century Gothic" w:cs="Open Sans"/>
          <w:color w:val="222222"/>
          <w:sz w:val="20"/>
          <w:szCs w:val="20"/>
        </w:rPr>
      </w:pPr>
      <w:r w:rsidRPr="00CD0FE7">
        <w:rPr>
          <w:rFonts w:ascii="Century Gothic" w:hAnsi="Century Gothic" w:cs="Open Sans"/>
          <w:noProof/>
          <w:color w:val="222222"/>
          <w:sz w:val="20"/>
          <w:szCs w:val="20"/>
        </w:rPr>
        <w:drawing>
          <wp:inline distT="0" distB="0" distL="0" distR="0" wp14:anchorId="4FFE2DD6" wp14:editId="506C1E61">
            <wp:extent cx="3225800" cy="2572385"/>
            <wp:effectExtent l="0" t="0" r="0" b="0"/>
            <wp:docPr id="7" name="Picture 7" descr="BPme Rewards Price Match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e Rewards Price Match 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800" cy="2572385"/>
                    </a:xfrm>
                    <a:prstGeom prst="rect">
                      <a:avLst/>
                    </a:prstGeom>
                    <a:noFill/>
                    <a:ln>
                      <a:noFill/>
                    </a:ln>
                  </pic:spPr>
                </pic:pic>
              </a:graphicData>
            </a:graphic>
          </wp:inline>
        </w:drawing>
      </w:r>
    </w:p>
    <w:p w14:paraId="208FD7F5" w14:textId="7CA8EAF1" w:rsidR="00621BBF" w:rsidRPr="00CD0FE7" w:rsidRDefault="00621BBF" w:rsidP="00621BBF">
      <w:pPr>
        <w:pStyle w:val="carousel-slide"/>
        <w:numPr>
          <w:ilvl w:val="0"/>
          <w:numId w:val="1"/>
        </w:numPr>
        <w:shd w:val="clear" w:color="auto" w:fill="FFFFFF"/>
        <w:spacing w:before="0" w:beforeAutospacing="0" w:after="48" w:afterAutospacing="0"/>
        <w:ind w:right="225"/>
        <w:rPr>
          <w:rFonts w:ascii="Century Gothic" w:hAnsi="Century Gothic" w:cs="Open Sans"/>
          <w:color w:val="222222"/>
          <w:sz w:val="20"/>
          <w:szCs w:val="20"/>
        </w:rPr>
      </w:pPr>
      <w:r w:rsidRPr="00CD0FE7">
        <w:rPr>
          <w:rFonts w:ascii="Century Gothic" w:hAnsi="Century Gothic" w:cs="Open Sans"/>
          <w:noProof/>
          <w:color w:val="222222"/>
          <w:sz w:val="20"/>
          <w:szCs w:val="20"/>
        </w:rPr>
        <w:lastRenderedPageBreak/>
        <w:drawing>
          <wp:inline distT="0" distB="0" distL="0" distR="0" wp14:anchorId="65313ECF" wp14:editId="5CB0909E">
            <wp:extent cx="3225800" cy="2572385"/>
            <wp:effectExtent l="0" t="0" r="0" b="0"/>
            <wp:docPr id="6" name="Picture 6" descr="BP Invigorate fuel p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P Invigorate fuel pu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800" cy="2572385"/>
                    </a:xfrm>
                    <a:prstGeom prst="rect">
                      <a:avLst/>
                    </a:prstGeom>
                    <a:noFill/>
                    <a:ln>
                      <a:noFill/>
                    </a:ln>
                  </pic:spPr>
                </pic:pic>
              </a:graphicData>
            </a:graphic>
          </wp:inline>
        </w:drawing>
      </w:r>
    </w:p>
    <w:p w14:paraId="495C9D28" w14:textId="5027E005" w:rsidR="00621BBF" w:rsidRPr="00CD0FE7" w:rsidRDefault="00621BBF" w:rsidP="00621BBF">
      <w:pPr>
        <w:pStyle w:val="carousel-slide"/>
        <w:numPr>
          <w:ilvl w:val="0"/>
          <w:numId w:val="1"/>
        </w:numPr>
        <w:shd w:val="clear" w:color="auto" w:fill="FFFFFF"/>
        <w:spacing w:before="0" w:beforeAutospacing="0" w:after="48" w:afterAutospacing="0"/>
        <w:ind w:right="225"/>
        <w:rPr>
          <w:rFonts w:ascii="Century Gothic" w:hAnsi="Century Gothic" w:cs="Open Sans"/>
          <w:color w:val="222222"/>
          <w:sz w:val="20"/>
          <w:szCs w:val="20"/>
        </w:rPr>
      </w:pPr>
      <w:r w:rsidRPr="00CD0FE7">
        <w:rPr>
          <w:rFonts w:ascii="Century Gothic" w:hAnsi="Century Gothic" w:cs="Open Sans"/>
          <w:noProof/>
          <w:color w:val="222222"/>
          <w:sz w:val="20"/>
          <w:szCs w:val="20"/>
        </w:rPr>
        <w:drawing>
          <wp:inline distT="0" distB="0" distL="0" distR="0" wp14:anchorId="2D4383C3" wp14:editId="0906423D">
            <wp:extent cx="3225800" cy="2572385"/>
            <wp:effectExtent l="0" t="0" r="0" b="0"/>
            <wp:docPr id="5" name="Picture 5" descr="Amoco fuel p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oco fuel pu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800" cy="2572385"/>
                    </a:xfrm>
                    <a:prstGeom prst="rect">
                      <a:avLst/>
                    </a:prstGeom>
                    <a:noFill/>
                    <a:ln>
                      <a:noFill/>
                    </a:ln>
                  </pic:spPr>
                </pic:pic>
              </a:graphicData>
            </a:graphic>
          </wp:inline>
        </w:drawing>
      </w:r>
    </w:p>
    <w:p w14:paraId="0105E87E" w14:textId="04F7E782" w:rsidR="00621BBF" w:rsidRPr="00CD0FE7" w:rsidRDefault="00621BBF" w:rsidP="00621BBF">
      <w:pPr>
        <w:pStyle w:val="carousel-slide"/>
        <w:numPr>
          <w:ilvl w:val="0"/>
          <w:numId w:val="1"/>
        </w:numPr>
        <w:shd w:val="clear" w:color="auto" w:fill="FFFFFF"/>
        <w:spacing w:before="0" w:beforeAutospacing="0" w:after="48" w:afterAutospacing="0"/>
        <w:ind w:right="225"/>
        <w:rPr>
          <w:rFonts w:ascii="Century Gothic" w:hAnsi="Century Gothic" w:cs="Open Sans"/>
          <w:color w:val="222222"/>
          <w:sz w:val="20"/>
          <w:szCs w:val="20"/>
        </w:rPr>
      </w:pPr>
      <w:r w:rsidRPr="00CD0FE7">
        <w:rPr>
          <w:rFonts w:ascii="Century Gothic" w:hAnsi="Century Gothic" w:cs="Open Sans"/>
          <w:noProof/>
          <w:color w:val="222222"/>
          <w:sz w:val="20"/>
          <w:szCs w:val="20"/>
        </w:rPr>
        <w:drawing>
          <wp:inline distT="0" distB="0" distL="0" distR="0" wp14:anchorId="12228D49" wp14:editId="6E7E7914">
            <wp:extent cx="3225800" cy="2572385"/>
            <wp:effectExtent l="0" t="0" r="0" b="0"/>
            <wp:docPr id="4" name="Picture 4" descr="BP electric vehicle charging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P electric vehicle charging s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5800" cy="2572385"/>
                    </a:xfrm>
                    <a:prstGeom prst="rect">
                      <a:avLst/>
                    </a:prstGeom>
                    <a:noFill/>
                    <a:ln>
                      <a:noFill/>
                    </a:ln>
                  </pic:spPr>
                </pic:pic>
              </a:graphicData>
            </a:graphic>
          </wp:inline>
        </w:drawing>
      </w:r>
    </w:p>
    <w:p w14:paraId="5AB4DEE5" w14:textId="77777777" w:rsidR="00621BBF" w:rsidRPr="00CD0FE7" w:rsidRDefault="00621BBF" w:rsidP="00621BBF">
      <w:pPr>
        <w:pStyle w:val="carousel-slide"/>
        <w:numPr>
          <w:ilvl w:val="0"/>
          <w:numId w:val="2"/>
        </w:numPr>
        <w:shd w:val="clear" w:color="auto" w:fill="FFFFFF"/>
        <w:spacing w:before="0" w:beforeAutospacing="0" w:after="0" w:afterAutospacing="0"/>
        <w:rPr>
          <w:rFonts w:ascii="Century Gothic" w:hAnsi="Century Gothic" w:cs="Open Sans"/>
          <w:color w:val="222222"/>
          <w:sz w:val="20"/>
          <w:szCs w:val="20"/>
        </w:rPr>
      </w:pPr>
    </w:p>
    <w:p w14:paraId="67D7EF13" w14:textId="77777777" w:rsidR="00621BBF" w:rsidRPr="00CD0FE7" w:rsidRDefault="00621BBF" w:rsidP="00621BBF">
      <w:pPr>
        <w:pStyle w:val="carousel-slide"/>
        <w:numPr>
          <w:ilvl w:val="0"/>
          <w:numId w:val="2"/>
        </w:numPr>
        <w:shd w:val="clear" w:color="auto" w:fill="FFFFFF"/>
        <w:spacing w:before="0" w:beforeAutospacing="0" w:after="0" w:afterAutospacing="0"/>
        <w:rPr>
          <w:rFonts w:ascii="Century Gothic" w:hAnsi="Century Gothic" w:cs="Open Sans"/>
          <w:color w:val="222222"/>
          <w:sz w:val="20"/>
          <w:szCs w:val="20"/>
        </w:rPr>
      </w:pPr>
    </w:p>
    <w:p w14:paraId="61FBA92E" w14:textId="77777777" w:rsidR="00621BBF" w:rsidRPr="00CD0FE7" w:rsidRDefault="00621BBF" w:rsidP="00621BBF">
      <w:pPr>
        <w:pStyle w:val="carousel-slide"/>
        <w:numPr>
          <w:ilvl w:val="0"/>
          <w:numId w:val="2"/>
        </w:numPr>
        <w:shd w:val="clear" w:color="auto" w:fill="FFFFFF"/>
        <w:spacing w:before="0" w:beforeAutospacing="0" w:after="0" w:afterAutospacing="0"/>
        <w:rPr>
          <w:rFonts w:ascii="Century Gothic" w:hAnsi="Century Gothic" w:cs="Open Sans"/>
          <w:color w:val="222222"/>
          <w:sz w:val="20"/>
          <w:szCs w:val="20"/>
        </w:rPr>
      </w:pPr>
    </w:p>
    <w:p w14:paraId="0E963E87" w14:textId="77777777" w:rsidR="00621BBF" w:rsidRPr="00CD0FE7" w:rsidRDefault="00621BBF" w:rsidP="00621BBF">
      <w:pPr>
        <w:pStyle w:val="carousel-slide"/>
        <w:numPr>
          <w:ilvl w:val="0"/>
          <w:numId w:val="2"/>
        </w:numPr>
        <w:shd w:val="clear" w:color="auto" w:fill="FFFFFF"/>
        <w:spacing w:before="0" w:beforeAutospacing="0" w:after="0" w:afterAutospacing="0"/>
        <w:rPr>
          <w:rFonts w:ascii="Century Gothic" w:hAnsi="Century Gothic" w:cs="Open Sans"/>
          <w:color w:val="222222"/>
          <w:sz w:val="20"/>
          <w:szCs w:val="20"/>
        </w:rPr>
      </w:pPr>
    </w:p>
    <w:p w14:paraId="34E97B57" w14:textId="77777777" w:rsidR="00621BBF" w:rsidRPr="00CD0FE7" w:rsidRDefault="00621BBF" w:rsidP="00621BBF">
      <w:pPr>
        <w:pStyle w:val="Heading4"/>
        <w:shd w:val="clear" w:color="auto" w:fill="FFFFFF"/>
        <w:spacing w:before="0" w:beforeAutospacing="0" w:after="0" w:afterAutospacing="0"/>
        <w:rPr>
          <w:rFonts w:ascii="Century Gothic" w:hAnsi="Century Gothic" w:cs="Open Sans"/>
          <w:color w:val="222222"/>
          <w:sz w:val="20"/>
          <w:szCs w:val="20"/>
        </w:rPr>
      </w:pPr>
      <w:r w:rsidRPr="00CD0FE7">
        <w:rPr>
          <w:rStyle w:val="Strong"/>
          <w:rFonts w:ascii="Century Gothic" w:hAnsi="Century Gothic" w:cs="Open Sans"/>
          <w:b/>
          <w:bCs/>
          <w:color w:val="222222"/>
          <w:sz w:val="20"/>
          <w:szCs w:val="20"/>
        </w:rPr>
        <w:t xml:space="preserve">Enhancements to </w:t>
      </w:r>
      <w:proofErr w:type="spellStart"/>
      <w:r w:rsidRPr="00CD0FE7">
        <w:rPr>
          <w:rStyle w:val="Strong"/>
          <w:rFonts w:ascii="Century Gothic" w:hAnsi="Century Gothic" w:cs="Open Sans"/>
          <w:b/>
          <w:bCs/>
          <w:color w:val="222222"/>
          <w:sz w:val="20"/>
          <w:szCs w:val="20"/>
        </w:rPr>
        <w:t>BPme</w:t>
      </w:r>
      <w:proofErr w:type="spellEnd"/>
      <w:r w:rsidRPr="00CD0FE7">
        <w:rPr>
          <w:rStyle w:val="Strong"/>
          <w:rFonts w:ascii="Century Gothic" w:hAnsi="Century Gothic" w:cs="Open Sans"/>
          <w:b/>
          <w:bCs/>
          <w:color w:val="222222"/>
          <w:sz w:val="20"/>
          <w:szCs w:val="20"/>
        </w:rPr>
        <w:t xml:space="preserve"> Rewards</w:t>
      </w:r>
    </w:p>
    <w:p w14:paraId="7C2D7837"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In February 2021, BP introduced </w:t>
      </w:r>
      <w:hyperlink r:id="rId13" w:history="1">
        <w:r w:rsidRPr="00CD0FE7">
          <w:rPr>
            <w:rStyle w:val="Hyperlink"/>
            <w:rFonts w:ascii="Century Gothic" w:hAnsi="Century Gothic" w:cs="Open Sans"/>
            <w:sz w:val="20"/>
            <w:szCs w:val="20"/>
          </w:rPr>
          <w:t>Price Match</w:t>
        </w:r>
      </w:hyperlink>
      <w:r w:rsidRPr="00CD0FE7">
        <w:rPr>
          <w:rFonts w:ascii="Century Gothic" w:hAnsi="Century Gothic" w:cs="Open Sans"/>
          <w:color w:val="222222"/>
          <w:sz w:val="20"/>
          <w:szCs w:val="20"/>
        </w:rPr>
        <w:t xml:space="preserve"> as part of its </w:t>
      </w:r>
      <w:proofErr w:type="spellStart"/>
      <w:r w:rsidRPr="00CD0FE7">
        <w:rPr>
          <w:rFonts w:ascii="Century Gothic" w:hAnsi="Century Gothic" w:cs="Open Sans"/>
          <w:color w:val="222222"/>
          <w:sz w:val="20"/>
          <w:szCs w:val="20"/>
        </w:rPr>
        <w:t>BPme</w:t>
      </w:r>
      <w:proofErr w:type="spellEnd"/>
      <w:r w:rsidRPr="00CD0FE7">
        <w:rPr>
          <w:rFonts w:ascii="Century Gothic" w:hAnsi="Century Gothic" w:cs="Open Sans"/>
          <w:color w:val="222222"/>
          <w:sz w:val="20"/>
          <w:szCs w:val="20"/>
        </w:rPr>
        <w:t xml:space="preserve"> Rewards program.</w:t>
      </w:r>
    </w:p>
    <w:p w14:paraId="7769DE59"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lastRenderedPageBreak/>
        <w:t>With the initial program, members could look for the best gas price by automatically comparing BP and Amoco prices to select competitor stations within a half-mile radius. If there were no competitor stations within that radius, the search expanded up to two miles. </w:t>
      </w:r>
    </w:p>
    <w:p w14:paraId="3383ECA7"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On March 1, the company expanded Price Match to compare against all competitors, instead of </w:t>
      </w:r>
      <w:proofErr w:type="gramStart"/>
      <w:r w:rsidRPr="00CD0FE7">
        <w:rPr>
          <w:rFonts w:ascii="Century Gothic" w:hAnsi="Century Gothic" w:cs="Open Sans"/>
          <w:color w:val="222222"/>
          <w:sz w:val="20"/>
          <w:szCs w:val="20"/>
        </w:rPr>
        <w:t>select</w:t>
      </w:r>
      <w:proofErr w:type="gramEnd"/>
      <w:r w:rsidRPr="00CD0FE7">
        <w:rPr>
          <w:rFonts w:ascii="Century Gothic" w:hAnsi="Century Gothic" w:cs="Open Sans"/>
          <w:color w:val="222222"/>
          <w:sz w:val="20"/>
          <w:szCs w:val="20"/>
        </w:rPr>
        <w:t xml:space="preserve"> competitors, in a two-mile radius instead of a half mile.</w:t>
      </w:r>
    </w:p>
    <w:p w14:paraId="671A80EE"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If there is a lower price for the same fuel grade, a cents-per-gallon savings will automatically be applied to the member's next </w:t>
      </w:r>
      <w:proofErr w:type="spellStart"/>
      <w:r w:rsidRPr="00CD0FE7">
        <w:rPr>
          <w:rFonts w:ascii="Century Gothic" w:hAnsi="Century Gothic" w:cs="Open Sans"/>
          <w:color w:val="222222"/>
          <w:sz w:val="20"/>
          <w:szCs w:val="20"/>
        </w:rPr>
        <w:t>BPme</w:t>
      </w:r>
      <w:proofErr w:type="spellEnd"/>
      <w:r w:rsidRPr="00CD0FE7">
        <w:rPr>
          <w:rFonts w:ascii="Century Gothic" w:hAnsi="Century Gothic" w:cs="Open Sans"/>
          <w:color w:val="222222"/>
          <w:sz w:val="20"/>
          <w:szCs w:val="20"/>
        </w:rPr>
        <w:t xml:space="preserve"> Rewards purchase. </w:t>
      </w:r>
    </w:p>
    <w:p w14:paraId="7ED1287D" w14:textId="77777777" w:rsidR="00621BBF" w:rsidRPr="00CD0FE7" w:rsidRDefault="00621BBF" w:rsidP="00621BBF">
      <w:pPr>
        <w:pStyle w:val="Heading4"/>
        <w:shd w:val="clear" w:color="auto" w:fill="FFFFFF"/>
        <w:spacing w:before="0" w:beforeAutospacing="0" w:after="0" w:afterAutospacing="0"/>
        <w:rPr>
          <w:rFonts w:ascii="Century Gothic" w:hAnsi="Century Gothic" w:cs="Open Sans"/>
          <w:color w:val="222222"/>
          <w:sz w:val="20"/>
          <w:szCs w:val="20"/>
        </w:rPr>
      </w:pPr>
      <w:r w:rsidRPr="00CD0FE7">
        <w:rPr>
          <w:rStyle w:val="Strong"/>
          <w:rFonts w:ascii="Century Gothic" w:hAnsi="Century Gothic" w:cs="Open Sans"/>
          <w:b/>
          <w:bCs/>
          <w:color w:val="222222"/>
          <w:sz w:val="20"/>
          <w:szCs w:val="20"/>
        </w:rPr>
        <w:t>Contactless Convenience</w:t>
      </w:r>
      <w:r w:rsidRPr="00CD0FE7">
        <w:rPr>
          <w:rFonts w:ascii="Century Gothic" w:hAnsi="Century Gothic" w:cs="Open Sans"/>
          <w:color w:val="222222"/>
          <w:sz w:val="20"/>
          <w:szCs w:val="20"/>
        </w:rPr>
        <w:t> </w:t>
      </w:r>
    </w:p>
    <w:p w14:paraId="390B312E"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At the event, BP spotlighted new self-checkout partnerships with </w:t>
      </w:r>
      <w:proofErr w:type="spellStart"/>
      <w:r w:rsidRPr="00CD0FE7">
        <w:rPr>
          <w:rFonts w:ascii="Century Gothic" w:hAnsi="Century Gothic" w:cs="Open Sans"/>
          <w:color w:val="222222"/>
          <w:sz w:val="20"/>
          <w:szCs w:val="20"/>
        </w:rPr>
        <w:t>Grabango</w:t>
      </w:r>
      <w:proofErr w:type="spellEnd"/>
      <w:r w:rsidRPr="00CD0FE7">
        <w:rPr>
          <w:rFonts w:ascii="Century Gothic" w:hAnsi="Century Gothic" w:cs="Open Sans"/>
          <w:color w:val="222222"/>
          <w:sz w:val="20"/>
          <w:szCs w:val="20"/>
        </w:rPr>
        <w:t xml:space="preserve"> and </w:t>
      </w:r>
      <w:proofErr w:type="spellStart"/>
      <w:r w:rsidRPr="00CD0FE7">
        <w:rPr>
          <w:rFonts w:ascii="Century Gothic" w:hAnsi="Century Gothic" w:cs="Open Sans"/>
          <w:color w:val="222222"/>
          <w:sz w:val="20"/>
          <w:szCs w:val="20"/>
        </w:rPr>
        <w:t>Mashgin</w:t>
      </w:r>
      <w:proofErr w:type="spellEnd"/>
      <w:r w:rsidRPr="00CD0FE7">
        <w:rPr>
          <w:rFonts w:ascii="Century Gothic" w:hAnsi="Century Gothic" w:cs="Open Sans"/>
          <w:color w:val="222222"/>
          <w:sz w:val="20"/>
          <w:szCs w:val="20"/>
        </w:rPr>
        <w:t>.</w:t>
      </w:r>
    </w:p>
    <w:p w14:paraId="7D6A8F98"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"So much has changed in terms of convenience, so we are trying to redefine the experience. We teamed up with </w:t>
      </w:r>
      <w:proofErr w:type="spellStart"/>
      <w:r w:rsidRPr="00CD0FE7">
        <w:rPr>
          <w:rFonts w:ascii="Century Gothic" w:hAnsi="Century Gothic" w:cs="Open Sans"/>
          <w:color w:val="222222"/>
          <w:sz w:val="20"/>
          <w:szCs w:val="20"/>
        </w:rPr>
        <w:t>Grabango</w:t>
      </w:r>
      <w:proofErr w:type="spellEnd"/>
      <w:r w:rsidRPr="00CD0FE7">
        <w:rPr>
          <w:rFonts w:ascii="Century Gothic" w:hAnsi="Century Gothic" w:cs="Open Sans"/>
          <w:color w:val="222222"/>
          <w:sz w:val="20"/>
          <w:szCs w:val="20"/>
        </w:rPr>
        <w:t xml:space="preserve"> and will roll out the contactless checkout concept to 10 stores by the end of the year," Blalock reported.</w:t>
      </w:r>
    </w:p>
    <w:p w14:paraId="7C13AAE8"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 xml:space="preserve">The </w:t>
      </w:r>
      <w:proofErr w:type="spellStart"/>
      <w:r w:rsidRPr="00CD0FE7">
        <w:rPr>
          <w:rFonts w:ascii="Century Gothic" w:hAnsi="Century Gothic" w:cs="Open Sans"/>
          <w:color w:val="222222"/>
          <w:sz w:val="20"/>
          <w:szCs w:val="20"/>
        </w:rPr>
        <w:t>Mashgin</w:t>
      </w:r>
      <w:proofErr w:type="spellEnd"/>
      <w:r w:rsidRPr="00CD0FE7">
        <w:rPr>
          <w:rFonts w:ascii="Century Gothic" w:hAnsi="Century Gothic" w:cs="Open Sans"/>
          <w:color w:val="222222"/>
          <w:sz w:val="20"/>
          <w:szCs w:val="20"/>
        </w:rPr>
        <w:t xml:space="preserve"> pact is bringing another form of self-checkout to the consumer. The platform combines artificial intelligence and computer vision so that there is no need to scan items. BP is piloting the platform in four locations on the </w:t>
      </w:r>
      <w:proofErr w:type="spellStart"/>
      <w:r w:rsidRPr="00CD0FE7">
        <w:rPr>
          <w:rStyle w:val="Emphasis"/>
          <w:rFonts w:ascii="Century Gothic" w:hAnsi="Century Gothic" w:cs="Open Sans"/>
          <w:color w:val="222222"/>
          <w:sz w:val="20"/>
          <w:szCs w:val="20"/>
        </w:rPr>
        <w:t>ampm</w:t>
      </w:r>
      <w:proofErr w:type="spellEnd"/>
      <w:r w:rsidRPr="00CD0FE7">
        <w:rPr>
          <w:rFonts w:ascii="Century Gothic" w:hAnsi="Century Gothic" w:cs="Open Sans"/>
          <w:color w:val="222222"/>
          <w:sz w:val="20"/>
          <w:szCs w:val="20"/>
        </w:rPr>
        <w:t> side of the business.</w:t>
      </w:r>
    </w:p>
    <w:p w14:paraId="19908DAE"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"We are looking for consumer feedback and will see how it evolves," Blalock said. "We want to be agnostic and to offer what our consumers want from checkout."</w:t>
      </w:r>
    </w:p>
    <w:p w14:paraId="59980861" w14:textId="77777777" w:rsidR="00621BBF" w:rsidRPr="00CD0FE7" w:rsidRDefault="00621BBF" w:rsidP="00621BBF">
      <w:pPr>
        <w:pStyle w:val="Heading4"/>
        <w:shd w:val="clear" w:color="auto" w:fill="FFFFFF"/>
        <w:spacing w:before="0" w:beforeAutospacing="0" w:after="0" w:afterAutospacing="0"/>
        <w:rPr>
          <w:rFonts w:ascii="Century Gothic" w:hAnsi="Century Gothic" w:cs="Open Sans"/>
          <w:color w:val="222222"/>
          <w:sz w:val="20"/>
          <w:szCs w:val="20"/>
        </w:rPr>
      </w:pPr>
      <w:r w:rsidRPr="00CD0FE7">
        <w:rPr>
          <w:rStyle w:val="Strong"/>
          <w:rFonts w:ascii="Century Gothic" w:hAnsi="Century Gothic" w:cs="Open Sans"/>
          <w:b/>
          <w:bCs/>
          <w:color w:val="222222"/>
          <w:sz w:val="20"/>
          <w:szCs w:val="20"/>
        </w:rPr>
        <w:t>Electric Vehicle Charging</w:t>
      </w:r>
    </w:p>
    <w:p w14:paraId="3886459C"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BP launched its electric vehicle (EV) charging offer for marketers at the show.</w:t>
      </w:r>
    </w:p>
    <w:p w14:paraId="12293962"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"Each operator, and site, is different and not everyone is ready to install EV charging today," said Emily Leung, vice president, future mobility and electrification, Americas. "We want them to think about the things they can do today to prepare for the future."</w:t>
      </w:r>
    </w:p>
    <w:p w14:paraId="528B118F" w14:textId="77777777" w:rsidR="00621BBF" w:rsidRPr="00CD0FE7" w:rsidRDefault="00621BBF" w:rsidP="00621BBF">
      <w:pPr>
        <w:pStyle w:val="Heading4"/>
        <w:shd w:val="clear" w:color="auto" w:fill="FFFFFF"/>
        <w:spacing w:before="0" w:beforeAutospacing="0" w:after="0" w:afterAutospacing="0"/>
        <w:rPr>
          <w:rFonts w:ascii="Century Gothic" w:hAnsi="Century Gothic" w:cs="Open Sans"/>
          <w:color w:val="222222"/>
          <w:sz w:val="20"/>
          <w:szCs w:val="20"/>
        </w:rPr>
      </w:pPr>
      <w:r w:rsidRPr="00CD0FE7">
        <w:rPr>
          <w:rStyle w:val="Strong"/>
          <w:rFonts w:ascii="Century Gothic" w:hAnsi="Century Gothic" w:cs="Open Sans"/>
          <w:b/>
          <w:bCs/>
          <w:color w:val="222222"/>
          <w:sz w:val="20"/>
          <w:szCs w:val="20"/>
        </w:rPr>
        <w:t>Amoco Relaunch </w:t>
      </w:r>
    </w:p>
    <w:p w14:paraId="3C2D7430"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BP relaunched the </w:t>
      </w:r>
      <w:hyperlink r:id="rId14" w:history="1">
        <w:r w:rsidRPr="00CD0FE7">
          <w:rPr>
            <w:rStyle w:val="Hyperlink"/>
            <w:rFonts w:ascii="Century Gothic" w:hAnsi="Century Gothic" w:cs="Open Sans"/>
            <w:sz w:val="20"/>
            <w:szCs w:val="20"/>
          </w:rPr>
          <w:t>Amoco brand</w:t>
        </w:r>
      </w:hyperlink>
      <w:r w:rsidRPr="00CD0FE7">
        <w:rPr>
          <w:rFonts w:ascii="Century Gothic" w:hAnsi="Century Gothic" w:cs="Open Sans"/>
          <w:color w:val="222222"/>
          <w:sz w:val="20"/>
          <w:szCs w:val="20"/>
        </w:rPr>
        <w:t> in 2017 and today, there are 400-plus locations. There is no specific target for number of locations, according to Blalock. </w:t>
      </w:r>
    </w:p>
    <w:p w14:paraId="36CF3C17"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"BP is still the primary brand, but we see high potential with Amoco," she said. "There is still love for the brand across the U.S."</w:t>
      </w:r>
    </w:p>
    <w:p w14:paraId="4741125A" w14:textId="77777777"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Looking down the road, Franks said BP wants to build up its convenience capability to understand where it is going. This may include EV, digital, and a great food offer.</w:t>
      </w:r>
    </w:p>
    <w:p w14:paraId="2669D1ED" w14:textId="262C568D" w:rsidR="00621BBF" w:rsidRPr="00CD0FE7" w:rsidRDefault="00621BBF"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"We want to develop a relationship with our consumers, understand the next generation's energy needs and meet them," Blalock concluded. </w:t>
      </w:r>
    </w:p>
    <w:p w14:paraId="0E012AFB" w14:textId="5DDA84CC" w:rsidR="007121A4" w:rsidRPr="00CD0FE7" w:rsidRDefault="007121A4" w:rsidP="00621BBF">
      <w:pPr>
        <w:pStyle w:val="NormalWeb"/>
        <w:shd w:val="clear" w:color="auto" w:fill="FFFFFF"/>
        <w:spacing w:before="0" w:beforeAutospacing="0" w:after="240" w:afterAutospacing="0"/>
        <w:rPr>
          <w:rFonts w:ascii="Century Gothic" w:hAnsi="Century Gothic" w:cs="Open Sans"/>
          <w:color w:val="222222"/>
          <w:sz w:val="20"/>
          <w:szCs w:val="20"/>
        </w:rPr>
      </w:pPr>
    </w:p>
    <w:p w14:paraId="638358A0" w14:textId="77777777" w:rsidR="00CD0FE7" w:rsidRDefault="00CD0FE7" w:rsidP="00621BBF">
      <w:pPr>
        <w:pStyle w:val="NormalWeb"/>
        <w:shd w:val="clear" w:color="auto" w:fill="FFFFFF"/>
        <w:spacing w:before="0" w:beforeAutospacing="0" w:after="240" w:afterAutospacing="0"/>
        <w:rPr>
          <w:rFonts w:ascii="Century Gothic" w:hAnsi="Century Gothic" w:cs="Open Sans"/>
          <w:color w:val="222222"/>
          <w:sz w:val="20"/>
          <w:szCs w:val="20"/>
        </w:rPr>
      </w:pPr>
    </w:p>
    <w:p w14:paraId="33DF532B" w14:textId="77777777" w:rsidR="00CD0FE7" w:rsidRDefault="00CD0FE7" w:rsidP="00621BBF">
      <w:pPr>
        <w:pStyle w:val="NormalWeb"/>
        <w:shd w:val="clear" w:color="auto" w:fill="FFFFFF"/>
        <w:spacing w:before="0" w:beforeAutospacing="0" w:after="240" w:afterAutospacing="0"/>
        <w:rPr>
          <w:rFonts w:ascii="Century Gothic" w:hAnsi="Century Gothic" w:cs="Open Sans"/>
          <w:color w:val="222222"/>
          <w:sz w:val="20"/>
          <w:szCs w:val="20"/>
        </w:rPr>
      </w:pPr>
    </w:p>
    <w:p w14:paraId="5252B389" w14:textId="77777777" w:rsidR="00CD0FE7" w:rsidRDefault="00CD0FE7" w:rsidP="00621BBF">
      <w:pPr>
        <w:pStyle w:val="NormalWeb"/>
        <w:shd w:val="clear" w:color="auto" w:fill="FFFFFF"/>
        <w:spacing w:before="0" w:beforeAutospacing="0" w:after="240" w:afterAutospacing="0"/>
        <w:rPr>
          <w:rFonts w:ascii="Century Gothic" w:hAnsi="Century Gothic" w:cs="Open Sans"/>
          <w:color w:val="222222"/>
          <w:sz w:val="20"/>
          <w:szCs w:val="20"/>
        </w:rPr>
      </w:pPr>
    </w:p>
    <w:p w14:paraId="28FC57A1" w14:textId="77777777" w:rsidR="00CD0FE7" w:rsidRDefault="00CD0FE7" w:rsidP="00621BBF">
      <w:pPr>
        <w:pStyle w:val="NormalWeb"/>
        <w:shd w:val="clear" w:color="auto" w:fill="FFFFFF"/>
        <w:spacing w:before="0" w:beforeAutospacing="0" w:after="240" w:afterAutospacing="0"/>
        <w:rPr>
          <w:rFonts w:ascii="Century Gothic" w:hAnsi="Century Gothic" w:cs="Open Sans"/>
          <w:color w:val="222222"/>
          <w:sz w:val="20"/>
          <w:szCs w:val="20"/>
        </w:rPr>
      </w:pPr>
    </w:p>
    <w:p w14:paraId="5675BAE7" w14:textId="77777777" w:rsidR="00CD0FE7" w:rsidRDefault="00CD0FE7" w:rsidP="00621BBF">
      <w:pPr>
        <w:pStyle w:val="NormalWeb"/>
        <w:shd w:val="clear" w:color="auto" w:fill="FFFFFF"/>
        <w:spacing w:before="0" w:beforeAutospacing="0" w:after="240" w:afterAutospacing="0"/>
        <w:rPr>
          <w:rFonts w:ascii="Century Gothic" w:hAnsi="Century Gothic" w:cs="Open Sans"/>
          <w:color w:val="222222"/>
          <w:sz w:val="20"/>
          <w:szCs w:val="20"/>
        </w:rPr>
      </w:pPr>
    </w:p>
    <w:p w14:paraId="1DE3BA56" w14:textId="77777777" w:rsidR="00CD0FE7" w:rsidRDefault="00CD0FE7" w:rsidP="00621BBF">
      <w:pPr>
        <w:pStyle w:val="NormalWeb"/>
        <w:shd w:val="clear" w:color="auto" w:fill="FFFFFF"/>
        <w:spacing w:before="0" w:beforeAutospacing="0" w:after="240" w:afterAutospacing="0"/>
        <w:rPr>
          <w:rFonts w:ascii="Century Gothic" w:hAnsi="Century Gothic" w:cs="Open Sans"/>
          <w:color w:val="222222"/>
          <w:sz w:val="20"/>
          <w:szCs w:val="20"/>
        </w:rPr>
      </w:pPr>
    </w:p>
    <w:p w14:paraId="232566FE" w14:textId="7D9024E1" w:rsidR="007121A4" w:rsidRDefault="007121A4"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b/>
          <w:bCs/>
          <w:color w:val="222222"/>
          <w:sz w:val="20"/>
          <w:szCs w:val="20"/>
        </w:rPr>
        <w:lastRenderedPageBreak/>
        <w:t>Summary</w:t>
      </w:r>
      <w:r w:rsidRPr="00CD0FE7">
        <w:rPr>
          <w:rFonts w:ascii="Century Gothic" w:hAnsi="Century Gothic" w:cs="Open Sans"/>
          <w:color w:val="222222"/>
          <w:sz w:val="20"/>
          <w:szCs w:val="20"/>
        </w:rPr>
        <w:t>:</w:t>
      </w:r>
    </w:p>
    <w:p w14:paraId="3C4DFE34" w14:textId="783F42A9" w:rsidR="00CD0FE7" w:rsidRDefault="00CD0FE7" w:rsidP="00621BBF">
      <w:pPr>
        <w:pStyle w:val="NormalWeb"/>
        <w:shd w:val="clear" w:color="auto" w:fill="FFFFFF"/>
        <w:spacing w:before="0" w:beforeAutospacing="0" w:after="240" w:afterAutospacing="0"/>
        <w:rPr>
          <w:rFonts w:ascii="Century Gothic" w:hAnsi="Century Gothic" w:cs="Open Sans"/>
          <w:color w:val="222222"/>
          <w:sz w:val="20"/>
          <w:szCs w:val="20"/>
        </w:rPr>
      </w:pPr>
      <w:r>
        <w:rPr>
          <w:rFonts w:ascii="Century Gothic" w:hAnsi="Century Gothic" w:cs="Open Sans"/>
          <w:color w:val="222222"/>
          <w:sz w:val="20"/>
          <w:szCs w:val="20"/>
        </w:rPr>
        <w:t>Instruct-</w:t>
      </w:r>
      <w:proofErr w:type="spellStart"/>
      <w:r>
        <w:rPr>
          <w:rFonts w:ascii="Century Gothic" w:hAnsi="Century Gothic" w:cs="Open Sans"/>
          <w:color w:val="222222"/>
          <w:sz w:val="20"/>
          <w:szCs w:val="20"/>
        </w:rPr>
        <w:t>davinci</w:t>
      </w:r>
      <w:proofErr w:type="spellEnd"/>
      <w:r>
        <w:rPr>
          <w:rFonts w:ascii="Century Gothic" w:hAnsi="Century Gothic" w:cs="Open Sans"/>
          <w:color w:val="222222"/>
          <w:sz w:val="20"/>
          <w:szCs w:val="20"/>
        </w:rPr>
        <w:t>:</w:t>
      </w:r>
    </w:p>
    <w:p w14:paraId="2DED3C71" w14:textId="4D2AF809" w:rsidR="00CD0FE7" w:rsidRDefault="00CD0FE7" w:rsidP="00621BBF">
      <w:pPr>
        <w:pStyle w:val="NormalWeb"/>
        <w:shd w:val="clear" w:color="auto" w:fill="FFFFFF"/>
        <w:spacing w:before="0" w:beforeAutospacing="0" w:after="240" w:afterAutospacing="0"/>
        <w:rPr>
          <w:rFonts w:ascii="Century Gothic" w:hAnsi="Century Gothic" w:cs="Open Sans"/>
          <w:color w:val="222222"/>
          <w:sz w:val="20"/>
          <w:szCs w:val="20"/>
        </w:rPr>
      </w:pPr>
      <w:r>
        <w:rPr>
          <w:rFonts w:ascii="Century Gothic" w:hAnsi="Century Gothic" w:cs="Open Sans"/>
          <w:color w:val="222222"/>
          <w:sz w:val="20"/>
          <w:szCs w:val="20"/>
        </w:rPr>
        <w:tab/>
      </w:r>
      <w:r w:rsidRPr="00CD0FE7">
        <w:rPr>
          <w:rFonts w:ascii="Century Gothic" w:hAnsi="Century Gothic" w:cs="Open Sans"/>
          <w:color w:val="222222"/>
          <w:sz w:val="20"/>
          <w:szCs w:val="20"/>
        </w:rPr>
        <w:t xml:space="preserve">BP is focusing on convenience stores to help with the energy </w:t>
      </w:r>
      <w:proofErr w:type="gramStart"/>
      <w:r w:rsidRPr="00CD0FE7">
        <w:rPr>
          <w:rFonts w:ascii="Century Gothic" w:hAnsi="Century Gothic" w:cs="Open Sans"/>
          <w:color w:val="222222"/>
          <w:sz w:val="20"/>
          <w:szCs w:val="20"/>
        </w:rPr>
        <w:t>transition,</w:t>
      </w:r>
      <w:r>
        <w:rPr>
          <w:rFonts w:ascii="Century Gothic" w:hAnsi="Century Gothic" w:cs="Open Sans"/>
          <w:color w:val="222222"/>
          <w:sz w:val="20"/>
          <w:szCs w:val="20"/>
        </w:rPr>
        <w:t xml:space="preserve"> </w:t>
      </w:r>
      <w:r w:rsidRPr="00CD0FE7">
        <w:rPr>
          <w:rFonts w:ascii="Century Gothic" w:hAnsi="Century Gothic" w:cs="Open Sans"/>
          <w:color w:val="222222"/>
          <w:sz w:val="20"/>
          <w:szCs w:val="20"/>
        </w:rPr>
        <w:t>and</w:t>
      </w:r>
      <w:proofErr w:type="gramEnd"/>
      <w:r w:rsidRPr="00CD0FE7">
        <w:rPr>
          <w:rFonts w:ascii="Century Gothic" w:hAnsi="Century Gothic" w:cs="Open Sans"/>
          <w:color w:val="222222"/>
          <w:sz w:val="20"/>
          <w:szCs w:val="20"/>
        </w:rPr>
        <w:t xml:space="preserve"> is working with its marketers to understand the pain points they face. It also showcased new initiatives at the BPAMA Convention and Business Expo, including enhancements to its </w:t>
      </w:r>
      <w:proofErr w:type="spellStart"/>
      <w:r w:rsidRPr="00CD0FE7">
        <w:rPr>
          <w:rFonts w:ascii="Century Gothic" w:hAnsi="Century Gothic" w:cs="Open Sans"/>
          <w:color w:val="222222"/>
          <w:sz w:val="20"/>
          <w:szCs w:val="20"/>
        </w:rPr>
        <w:t>BPme</w:t>
      </w:r>
      <w:proofErr w:type="spellEnd"/>
      <w:r w:rsidRPr="00CD0FE7">
        <w:rPr>
          <w:rFonts w:ascii="Century Gothic" w:hAnsi="Century Gothic" w:cs="Open Sans"/>
          <w:color w:val="222222"/>
          <w:sz w:val="20"/>
          <w:szCs w:val="20"/>
        </w:rPr>
        <w:t xml:space="preserve"> Rewards program, contactless convenience, electric vehicle charging, and a relaunch of the Amoco brand.</w:t>
      </w:r>
    </w:p>
    <w:p w14:paraId="54A075C8" w14:textId="475A4DD3" w:rsidR="00CD0FE7" w:rsidRPr="00CD0FE7" w:rsidRDefault="00CD0FE7" w:rsidP="00621BBF">
      <w:pPr>
        <w:pStyle w:val="NormalWeb"/>
        <w:shd w:val="clear" w:color="auto" w:fill="FFFFFF"/>
        <w:spacing w:before="0" w:beforeAutospacing="0" w:after="240" w:afterAutospacing="0"/>
        <w:rPr>
          <w:rFonts w:ascii="Century Gothic" w:hAnsi="Century Gothic" w:cs="Open Sans"/>
          <w:color w:val="222222"/>
          <w:sz w:val="20"/>
          <w:szCs w:val="20"/>
        </w:rPr>
      </w:pPr>
      <w:r>
        <w:rPr>
          <w:rFonts w:ascii="Century Gothic" w:hAnsi="Century Gothic" w:cs="Open Sans"/>
          <w:color w:val="222222"/>
          <w:sz w:val="20"/>
          <w:szCs w:val="20"/>
        </w:rPr>
        <w:t>Instruct-curie:</w:t>
      </w:r>
    </w:p>
    <w:p w14:paraId="1E3DAA02" w14:textId="138A0175" w:rsidR="007121A4" w:rsidRPr="00CD0FE7" w:rsidRDefault="007121A4" w:rsidP="00621BBF">
      <w:pPr>
        <w:pStyle w:val="NormalWeb"/>
        <w:shd w:val="clear" w:color="auto" w:fill="FFFFFF"/>
        <w:spacing w:before="0" w:beforeAutospacing="0" w:after="240" w:afterAutospacing="0"/>
        <w:rPr>
          <w:rFonts w:ascii="Century Gothic" w:hAnsi="Century Gothic" w:cs="Open Sans"/>
          <w:color w:val="222222"/>
          <w:sz w:val="20"/>
          <w:szCs w:val="20"/>
        </w:rPr>
      </w:pPr>
      <w:r w:rsidRPr="00CD0FE7">
        <w:rPr>
          <w:rFonts w:ascii="Century Gothic" w:hAnsi="Century Gothic" w:cs="Open Sans"/>
          <w:color w:val="222222"/>
          <w:sz w:val="20"/>
          <w:szCs w:val="20"/>
        </w:rPr>
        <w:tab/>
      </w:r>
      <w:r w:rsidRPr="00CD0FE7">
        <w:rPr>
          <w:rFonts w:ascii="Century Gothic" w:hAnsi="Century Gothic" w:cs="Open Sans"/>
          <w:color w:val="222222"/>
          <w:sz w:val="20"/>
          <w:szCs w:val="20"/>
        </w:rPr>
        <w:t>BP is focusing on its three-prong focus of resilient hydrocarbons, convenience and mobility, and low carbon energy. It acquired Thorntons in September 2021 and is currently working through the integration process. The chain has great customer service and a good end-to-end program.</w:t>
      </w:r>
    </w:p>
    <w:p w14:paraId="66BE8C51" w14:textId="44A732A9" w:rsidR="00621BBF" w:rsidRPr="00CD0FE7" w:rsidRDefault="00621BBF">
      <w:pPr>
        <w:rPr>
          <w:rFonts w:ascii="Century Gothic" w:hAnsi="Century Gothic"/>
          <w:sz w:val="20"/>
          <w:szCs w:val="20"/>
          <w:lang w:val="en-US"/>
        </w:rPr>
      </w:pPr>
    </w:p>
    <w:sectPr w:rsidR="00621BBF" w:rsidRPr="00CD0FE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8BAC7" w14:textId="77777777" w:rsidR="00F230ED" w:rsidRDefault="00F230ED" w:rsidP="00563E22">
      <w:pPr>
        <w:spacing w:after="0" w:line="240" w:lineRule="auto"/>
      </w:pPr>
      <w:r>
        <w:separator/>
      </w:r>
    </w:p>
  </w:endnote>
  <w:endnote w:type="continuationSeparator" w:id="0">
    <w:p w14:paraId="05864044" w14:textId="77777777" w:rsidR="00F230ED" w:rsidRDefault="00F230ED" w:rsidP="00563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68EB8" w14:textId="77777777" w:rsidR="00563E22" w:rsidRDefault="00563E22">
    <w:pPr>
      <w:pStyle w:val="Footer"/>
    </w:pPr>
    <w:r>
      <w:rPr>
        <w:noProof/>
      </w:rPr>
      <mc:AlternateContent>
        <mc:Choice Requires="wps">
          <w:drawing>
            <wp:anchor distT="0" distB="0" distL="0" distR="0" simplePos="0" relativeHeight="251659264" behindDoc="0" locked="0" layoutInCell="1" allowOverlap="1" wp14:anchorId="097C39DF" wp14:editId="7DC4DF06">
              <wp:simplePos x="635" y="635"/>
              <wp:positionH relativeFrom="leftMargin">
                <wp:align>left</wp:align>
              </wp:positionH>
              <wp:positionV relativeFrom="paragraph">
                <wp:posOffset>635</wp:posOffset>
              </wp:positionV>
              <wp:extent cx="443865" cy="443865"/>
              <wp:effectExtent l="0" t="0" r="15240" b="17145"/>
              <wp:wrapSquare wrapText="bothSides"/>
              <wp:docPr id="2" name="Text Box 2"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DFC039" w14:textId="77777777" w:rsidR="00563E22" w:rsidRPr="00563E22" w:rsidRDefault="00563E22">
                          <w:pPr>
                            <w:rPr>
                              <w:rFonts w:ascii="Calibri" w:eastAsia="Calibri" w:hAnsi="Calibri" w:cs="Calibri"/>
                              <w:noProof/>
                              <w:color w:val="000000"/>
                              <w:sz w:val="20"/>
                              <w:szCs w:val="20"/>
                            </w:rPr>
                          </w:pPr>
                          <w:r w:rsidRPr="00563E22">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97C39DF" id="_x0000_t202" coordsize="21600,21600" o:spt="202" path="m,l,21600r21600,l21600,xe">
              <v:stroke joinstyle="miter"/>
              <v:path gradientshapeok="t" o:connecttype="rect"/>
            </v:shapetype>
            <v:shape id="Text Box 2" o:spid="_x0000_s1026" type="#_x0000_t202" alt="Internal to Wipro"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59DFC039" w14:textId="77777777" w:rsidR="00563E22" w:rsidRPr="00563E22" w:rsidRDefault="00563E22">
                    <w:pPr>
                      <w:rPr>
                        <w:rFonts w:ascii="Calibri" w:eastAsia="Calibri" w:hAnsi="Calibri" w:cs="Calibri"/>
                        <w:noProof/>
                        <w:color w:val="000000"/>
                        <w:sz w:val="20"/>
                        <w:szCs w:val="20"/>
                      </w:rPr>
                    </w:pPr>
                    <w:r w:rsidRPr="00563E22">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6F1AD" w14:textId="77777777" w:rsidR="00563E22" w:rsidRDefault="00563E22">
    <w:pPr>
      <w:pStyle w:val="Footer"/>
    </w:pPr>
    <w:r>
      <w:rPr>
        <w:noProof/>
      </w:rPr>
      <mc:AlternateContent>
        <mc:Choice Requires="wps">
          <w:drawing>
            <wp:anchor distT="0" distB="0" distL="0" distR="0" simplePos="0" relativeHeight="251660288" behindDoc="0" locked="0" layoutInCell="1" allowOverlap="1" wp14:anchorId="04ACE02B" wp14:editId="7720962D">
              <wp:simplePos x="914400" y="10068448"/>
              <wp:positionH relativeFrom="leftMargin">
                <wp:align>left</wp:align>
              </wp:positionH>
              <wp:positionV relativeFrom="paragraph">
                <wp:posOffset>635</wp:posOffset>
              </wp:positionV>
              <wp:extent cx="443865" cy="443865"/>
              <wp:effectExtent l="0" t="0" r="15240" b="17145"/>
              <wp:wrapSquare wrapText="bothSides"/>
              <wp:docPr id="3" name="Text Box 3"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F057BD" w14:textId="77777777" w:rsidR="00563E22" w:rsidRPr="00563E22" w:rsidRDefault="00563E22">
                          <w:pPr>
                            <w:rPr>
                              <w:rFonts w:ascii="Calibri" w:eastAsia="Calibri" w:hAnsi="Calibri" w:cs="Calibri"/>
                              <w:noProof/>
                              <w:color w:val="000000"/>
                              <w:sz w:val="20"/>
                              <w:szCs w:val="20"/>
                            </w:rPr>
                          </w:pPr>
                          <w:r w:rsidRPr="00563E22">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4ACE02B" id="_x0000_t202" coordsize="21600,21600" o:spt="202" path="m,l,21600r21600,l21600,xe">
              <v:stroke joinstyle="miter"/>
              <v:path gradientshapeok="t" o:connecttype="rect"/>
            </v:shapetype>
            <v:shape id="Text Box 3" o:spid="_x0000_s1027" type="#_x0000_t202" alt="Internal to Wipro"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20F057BD" w14:textId="77777777" w:rsidR="00563E22" w:rsidRPr="00563E22" w:rsidRDefault="00563E22">
                    <w:pPr>
                      <w:rPr>
                        <w:rFonts w:ascii="Calibri" w:eastAsia="Calibri" w:hAnsi="Calibri" w:cs="Calibri"/>
                        <w:noProof/>
                        <w:color w:val="000000"/>
                        <w:sz w:val="20"/>
                        <w:szCs w:val="20"/>
                      </w:rPr>
                    </w:pPr>
                    <w:r w:rsidRPr="00563E22">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37A06" w14:textId="77777777" w:rsidR="00563E22" w:rsidRDefault="00563E22">
    <w:pPr>
      <w:pStyle w:val="Footer"/>
    </w:pPr>
    <w:r>
      <w:rPr>
        <w:noProof/>
      </w:rPr>
      <mc:AlternateContent>
        <mc:Choice Requires="wps">
          <w:drawing>
            <wp:anchor distT="0" distB="0" distL="0" distR="0" simplePos="0" relativeHeight="251658240" behindDoc="0" locked="0" layoutInCell="1" allowOverlap="1" wp14:anchorId="382E4445" wp14:editId="61FDD1B9">
              <wp:simplePos x="635" y="635"/>
              <wp:positionH relativeFrom="leftMargin">
                <wp:align>left</wp:align>
              </wp:positionH>
              <wp:positionV relativeFrom="paragraph">
                <wp:posOffset>635</wp:posOffset>
              </wp:positionV>
              <wp:extent cx="443865" cy="443865"/>
              <wp:effectExtent l="0" t="0" r="15240" b="17145"/>
              <wp:wrapSquare wrapText="bothSides"/>
              <wp:docPr id="1" name="Text Box 1"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638B0F" w14:textId="77777777" w:rsidR="00563E22" w:rsidRPr="00563E22" w:rsidRDefault="00563E22">
                          <w:pPr>
                            <w:rPr>
                              <w:rFonts w:ascii="Calibri" w:eastAsia="Calibri" w:hAnsi="Calibri" w:cs="Calibri"/>
                              <w:noProof/>
                              <w:color w:val="000000"/>
                              <w:sz w:val="20"/>
                              <w:szCs w:val="20"/>
                            </w:rPr>
                          </w:pPr>
                          <w:r w:rsidRPr="00563E22">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82E4445" id="_x0000_t202" coordsize="21600,21600" o:spt="202" path="m,l,21600r21600,l21600,xe">
              <v:stroke joinstyle="miter"/>
              <v:path gradientshapeok="t" o:connecttype="rect"/>
            </v:shapetype>
            <v:shape id="Text Box 1" o:spid="_x0000_s1028" type="#_x0000_t202" alt="Internal to Wipro"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61638B0F" w14:textId="77777777" w:rsidR="00563E22" w:rsidRPr="00563E22" w:rsidRDefault="00563E22">
                    <w:pPr>
                      <w:rPr>
                        <w:rFonts w:ascii="Calibri" w:eastAsia="Calibri" w:hAnsi="Calibri" w:cs="Calibri"/>
                        <w:noProof/>
                        <w:color w:val="000000"/>
                        <w:sz w:val="20"/>
                        <w:szCs w:val="20"/>
                      </w:rPr>
                    </w:pPr>
                    <w:r w:rsidRPr="00563E22">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B8A3F" w14:textId="77777777" w:rsidR="00F230ED" w:rsidRDefault="00F230ED" w:rsidP="00563E22">
      <w:pPr>
        <w:spacing w:after="0" w:line="240" w:lineRule="auto"/>
      </w:pPr>
      <w:r>
        <w:separator/>
      </w:r>
    </w:p>
  </w:footnote>
  <w:footnote w:type="continuationSeparator" w:id="0">
    <w:p w14:paraId="7DC64DA0" w14:textId="77777777" w:rsidR="00F230ED" w:rsidRDefault="00F230ED" w:rsidP="00563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43A3" w14:textId="77777777" w:rsidR="00563E22" w:rsidRDefault="00563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911B9" w14:textId="77777777" w:rsidR="00563E22" w:rsidRDefault="00563E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C082" w14:textId="77777777" w:rsidR="00563E22" w:rsidRDefault="00563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75A74"/>
    <w:multiLevelType w:val="multilevel"/>
    <w:tmpl w:val="B452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06DA5"/>
    <w:multiLevelType w:val="multilevel"/>
    <w:tmpl w:val="3D9A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22"/>
    <w:rsid w:val="000D1E01"/>
    <w:rsid w:val="003E594D"/>
    <w:rsid w:val="00563E22"/>
    <w:rsid w:val="00621BBF"/>
    <w:rsid w:val="007121A4"/>
    <w:rsid w:val="00C46930"/>
    <w:rsid w:val="00CD0FE7"/>
    <w:rsid w:val="00F23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00A9"/>
  <w15:chartTrackingRefBased/>
  <w15:docId w15:val="{F6A58937-C746-4CA0-86A8-0DFC9435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1B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1B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E22"/>
  </w:style>
  <w:style w:type="paragraph" w:styleId="Footer">
    <w:name w:val="footer"/>
    <w:basedOn w:val="Normal"/>
    <w:link w:val="FooterChar"/>
    <w:uiPriority w:val="99"/>
    <w:unhideWhenUsed/>
    <w:rsid w:val="00563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E22"/>
  </w:style>
  <w:style w:type="character" w:styleId="Hyperlink">
    <w:name w:val="Hyperlink"/>
    <w:basedOn w:val="DefaultParagraphFont"/>
    <w:uiPriority w:val="99"/>
    <w:unhideWhenUsed/>
    <w:rsid w:val="00621BBF"/>
    <w:rPr>
      <w:color w:val="0563C1" w:themeColor="hyperlink"/>
      <w:u w:val="single"/>
    </w:rPr>
  </w:style>
  <w:style w:type="character" w:styleId="UnresolvedMention">
    <w:name w:val="Unresolved Mention"/>
    <w:basedOn w:val="DefaultParagraphFont"/>
    <w:uiPriority w:val="99"/>
    <w:semiHidden/>
    <w:unhideWhenUsed/>
    <w:rsid w:val="00621BBF"/>
    <w:rPr>
      <w:color w:val="605E5C"/>
      <w:shd w:val="clear" w:color="auto" w:fill="E1DFDD"/>
    </w:rPr>
  </w:style>
  <w:style w:type="character" w:customStyle="1" w:styleId="Heading3Char">
    <w:name w:val="Heading 3 Char"/>
    <w:basedOn w:val="DefaultParagraphFont"/>
    <w:link w:val="Heading3"/>
    <w:uiPriority w:val="9"/>
    <w:rsid w:val="00621B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1BB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21B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1BBF"/>
    <w:rPr>
      <w:i/>
      <w:iCs/>
    </w:rPr>
  </w:style>
  <w:style w:type="paragraph" w:customStyle="1" w:styleId="carousel-slide">
    <w:name w:val="carousel-slide"/>
    <w:basedOn w:val="Normal"/>
    <w:rsid w:val="00621B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1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33789">
      <w:bodyDiv w:val="1"/>
      <w:marLeft w:val="0"/>
      <w:marRight w:val="0"/>
      <w:marTop w:val="0"/>
      <w:marBottom w:val="0"/>
      <w:divBdr>
        <w:top w:val="none" w:sz="0" w:space="0" w:color="auto"/>
        <w:left w:val="none" w:sz="0" w:space="0" w:color="auto"/>
        <w:bottom w:val="none" w:sz="0" w:space="0" w:color="auto"/>
        <w:right w:val="none" w:sz="0" w:space="0" w:color="auto"/>
      </w:divBdr>
      <w:divsChild>
        <w:div w:id="425809599">
          <w:marLeft w:val="0"/>
          <w:marRight w:val="0"/>
          <w:marTop w:val="0"/>
          <w:marBottom w:val="225"/>
          <w:divBdr>
            <w:top w:val="none" w:sz="0" w:space="0" w:color="auto"/>
            <w:left w:val="none" w:sz="0" w:space="0" w:color="auto"/>
            <w:bottom w:val="none" w:sz="0" w:space="0" w:color="auto"/>
            <w:right w:val="none" w:sz="0" w:space="0" w:color="auto"/>
          </w:divBdr>
          <w:divsChild>
            <w:div w:id="797720741">
              <w:marLeft w:val="0"/>
              <w:marRight w:val="0"/>
              <w:marTop w:val="0"/>
              <w:marBottom w:val="0"/>
              <w:divBdr>
                <w:top w:val="none" w:sz="0" w:space="0" w:color="auto"/>
                <w:left w:val="none" w:sz="0" w:space="0" w:color="auto"/>
                <w:bottom w:val="none" w:sz="0" w:space="0" w:color="auto"/>
                <w:right w:val="none" w:sz="0" w:space="0" w:color="auto"/>
              </w:divBdr>
              <w:divsChild>
                <w:div w:id="1322613993">
                  <w:marLeft w:val="0"/>
                  <w:marRight w:val="0"/>
                  <w:marTop w:val="0"/>
                  <w:marBottom w:val="0"/>
                  <w:divBdr>
                    <w:top w:val="none" w:sz="0" w:space="0" w:color="auto"/>
                    <w:left w:val="none" w:sz="0" w:space="0" w:color="auto"/>
                    <w:bottom w:val="none" w:sz="0" w:space="0" w:color="auto"/>
                    <w:right w:val="none" w:sz="0" w:space="0" w:color="auto"/>
                  </w:divBdr>
                  <w:divsChild>
                    <w:div w:id="867792619">
                      <w:marLeft w:val="0"/>
                      <w:marRight w:val="0"/>
                      <w:marTop w:val="0"/>
                      <w:marBottom w:val="0"/>
                      <w:divBdr>
                        <w:top w:val="none" w:sz="0" w:space="0" w:color="auto"/>
                        <w:left w:val="none" w:sz="0" w:space="0" w:color="auto"/>
                        <w:bottom w:val="none" w:sz="0" w:space="0" w:color="auto"/>
                        <w:right w:val="none" w:sz="0" w:space="0" w:color="auto"/>
                      </w:divBdr>
                      <w:divsChild>
                        <w:div w:id="60837708">
                          <w:marLeft w:val="0"/>
                          <w:marRight w:val="0"/>
                          <w:marTop w:val="0"/>
                          <w:marBottom w:val="0"/>
                          <w:divBdr>
                            <w:top w:val="none" w:sz="0" w:space="0" w:color="auto"/>
                            <w:left w:val="none" w:sz="0" w:space="0" w:color="auto"/>
                            <w:bottom w:val="none" w:sz="0" w:space="0" w:color="auto"/>
                            <w:right w:val="none" w:sz="0" w:space="0" w:color="auto"/>
                          </w:divBdr>
                          <w:divsChild>
                            <w:div w:id="421536323">
                              <w:marLeft w:val="0"/>
                              <w:marRight w:val="0"/>
                              <w:marTop w:val="0"/>
                              <w:marBottom w:val="0"/>
                              <w:divBdr>
                                <w:top w:val="none" w:sz="0" w:space="0" w:color="auto"/>
                                <w:left w:val="none" w:sz="0" w:space="0" w:color="auto"/>
                                <w:bottom w:val="none" w:sz="0" w:space="0" w:color="auto"/>
                                <w:right w:val="none" w:sz="0" w:space="0" w:color="auto"/>
                              </w:divBdr>
                              <w:divsChild>
                                <w:div w:id="195605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000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5655">
          <w:marLeft w:val="0"/>
          <w:marRight w:val="0"/>
          <w:marTop w:val="0"/>
          <w:marBottom w:val="225"/>
          <w:divBdr>
            <w:top w:val="none" w:sz="0" w:space="0" w:color="auto"/>
            <w:left w:val="none" w:sz="0" w:space="0" w:color="auto"/>
            <w:bottom w:val="none" w:sz="0" w:space="0" w:color="auto"/>
            <w:right w:val="none" w:sz="0" w:space="0" w:color="auto"/>
          </w:divBdr>
          <w:divsChild>
            <w:div w:id="1165510044">
              <w:marLeft w:val="0"/>
              <w:marRight w:val="0"/>
              <w:marTop w:val="0"/>
              <w:marBottom w:val="0"/>
              <w:divBdr>
                <w:top w:val="none" w:sz="0" w:space="0" w:color="auto"/>
                <w:left w:val="none" w:sz="0" w:space="0" w:color="auto"/>
                <w:bottom w:val="none" w:sz="0" w:space="0" w:color="auto"/>
                <w:right w:val="none" w:sz="0" w:space="0" w:color="auto"/>
              </w:divBdr>
              <w:divsChild>
                <w:div w:id="1954701521">
                  <w:marLeft w:val="0"/>
                  <w:marRight w:val="0"/>
                  <w:marTop w:val="0"/>
                  <w:marBottom w:val="0"/>
                  <w:divBdr>
                    <w:top w:val="none" w:sz="0" w:space="0" w:color="auto"/>
                    <w:left w:val="none" w:sz="0" w:space="0" w:color="auto"/>
                    <w:bottom w:val="none" w:sz="0" w:space="0" w:color="auto"/>
                    <w:right w:val="none" w:sz="0" w:space="0" w:color="auto"/>
                  </w:divBdr>
                  <w:divsChild>
                    <w:div w:id="10503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53014">
              <w:marLeft w:val="0"/>
              <w:marRight w:val="0"/>
              <w:marTop w:val="0"/>
              <w:marBottom w:val="0"/>
              <w:divBdr>
                <w:top w:val="none" w:sz="0" w:space="0" w:color="auto"/>
                <w:left w:val="none" w:sz="0" w:space="0" w:color="auto"/>
                <w:bottom w:val="none" w:sz="0" w:space="0" w:color="auto"/>
                <w:right w:val="none" w:sz="0" w:space="0" w:color="auto"/>
              </w:divBdr>
            </w:div>
          </w:divsChild>
        </w:div>
        <w:div w:id="1114056237">
          <w:marLeft w:val="0"/>
          <w:marRight w:val="0"/>
          <w:marTop w:val="0"/>
          <w:marBottom w:val="225"/>
          <w:divBdr>
            <w:top w:val="none" w:sz="0" w:space="0" w:color="auto"/>
            <w:left w:val="none" w:sz="0" w:space="0" w:color="auto"/>
            <w:bottom w:val="none" w:sz="0" w:space="0" w:color="auto"/>
            <w:right w:val="none" w:sz="0" w:space="0" w:color="auto"/>
          </w:divBdr>
          <w:divsChild>
            <w:div w:id="390272293">
              <w:marLeft w:val="0"/>
              <w:marRight w:val="0"/>
              <w:marTop w:val="0"/>
              <w:marBottom w:val="0"/>
              <w:divBdr>
                <w:top w:val="none" w:sz="0" w:space="0" w:color="auto"/>
                <w:left w:val="none" w:sz="0" w:space="0" w:color="auto"/>
                <w:bottom w:val="none" w:sz="0" w:space="0" w:color="auto"/>
                <w:right w:val="none" w:sz="0" w:space="0" w:color="auto"/>
              </w:divBdr>
              <w:divsChild>
                <w:div w:id="703285877">
                  <w:marLeft w:val="0"/>
                  <w:marRight w:val="0"/>
                  <w:marTop w:val="0"/>
                  <w:marBottom w:val="0"/>
                  <w:divBdr>
                    <w:top w:val="none" w:sz="0" w:space="0" w:color="auto"/>
                    <w:left w:val="none" w:sz="0" w:space="0" w:color="auto"/>
                    <w:bottom w:val="none" w:sz="0" w:space="0" w:color="auto"/>
                    <w:right w:val="none" w:sz="0" w:space="0" w:color="auto"/>
                  </w:divBdr>
                  <w:divsChild>
                    <w:div w:id="1744181661">
                      <w:marLeft w:val="0"/>
                      <w:marRight w:val="0"/>
                      <w:marTop w:val="0"/>
                      <w:marBottom w:val="0"/>
                      <w:divBdr>
                        <w:top w:val="none" w:sz="0" w:space="0" w:color="auto"/>
                        <w:left w:val="none" w:sz="0" w:space="0" w:color="auto"/>
                        <w:bottom w:val="none" w:sz="0" w:space="0" w:color="auto"/>
                        <w:right w:val="none" w:sz="0" w:space="0" w:color="auto"/>
                      </w:divBdr>
                      <w:divsChild>
                        <w:div w:id="1660109611">
                          <w:marLeft w:val="0"/>
                          <w:marRight w:val="0"/>
                          <w:marTop w:val="0"/>
                          <w:marBottom w:val="0"/>
                          <w:divBdr>
                            <w:top w:val="none" w:sz="0" w:space="0" w:color="auto"/>
                            <w:left w:val="none" w:sz="0" w:space="0" w:color="auto"/>
                            <w:bottom w:val="none" w:sz="0" w:space="0" w:color="auto"/>
                            <w:right w:val="none" w:sz="0" w:space="0" w:color="auto"/>
                          </w:divBdr>
                          <w:divsChild>
                            <w:div w:id="17113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news.com/done-deal-bp-takes-full-ownership-thorntons" TargetMode="External"/><Relationship Id="rId13" Type="http://schemas.openxmlformats.org/officeDocument/2006/relationships/hyperlink" Target="https://www.csnews.com/bp-introduces-price-match-program-rewards-member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ur03.safelinks.protection.outlook.com/?url=https%3A%2F%2Fwww.csnews.com%2Fbp-leans-convenience-retailing-following-thorntons-deal&amp;data=04%7C01%7Cvijaykumar.alagirisamy%40bp.com%7C064ce5cc30de4cb4968608da0c06465f%7Cea80952ea47642d4aaf45457852b0f7e%7C0%7C0%7C637835518324703633%7CUnknown%7CTWFpbGZsb3d8eyJWIjoiMC4wLjAwMDAiLCJQIjoiV2luMzIiLCJBTiI6Ik1haWwiLCJXVCI6Mn0%3D%7C3000&amp;sdata=MALMwqRkUNPHawJIEC4q05NnNwhqehsQxoFg%2FDqUp04%3D&amp;reserved=0" TargetMode="Externa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csnews.com/back-future-amoc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ALAGIRISAMY (iDEAS-DX)</dc:creator>
  <cp:keywords/>
  <dc:description/>
  <cp:lastModifiedBy>VIJAYKUMAR ALAGIRISAMY (iDEAS-DX)</cp:lastModifiedBy>
  <cp:revision>3</cp:revision>
  <dcterms:created xsi:type="dcterms:W3CDTF">2022-03-29T06:28:00Z</dcterms:created>
  <dcterms:modified xsi:type="dcterms:W3CDTF">2022-03-29T07:19:00Z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to Wipro</vt:lpwstr>
  </property>
  <property fmtid="{D5CDD505-2E9C-101B-9397-08002B2CF9AE}" pid="5" name="MSIP_Label_f65b3423-ec78-4b3c-9693-96b88a3857c2_Enabled">
    <vt:lpwstr>true</vt:lpwstr>
  </property>
  <property fmtid="{D5CDD505-2E9C-101B-9397-08002B2CF9AE}" pid="6" name="MSIP_Label_f65b3423-ec78-4b3c-9693-96b88a3857c2_SetDate">
    <vt:lpwstr>2022-03-29T06:28:24Z</vt:lpwstr>
  </property>
  <property fmtid="{D5CDD505-2E9C-101B-9397-08002B2CF9AE}" pid="7" name="MSIP_Label_f65b3423-ec78-4b3c-9693-96b88a3857c2_Method">
    <vt:lpwstr>Standard</vt:lpwstr>
  </property>
  <property fmtid="{D5CDD505-2E9C-101B-9397-08002B2CF9AE}" pid="8" name="MSIP_Label_f65b3423-ec78-4b3c-9693-96b88a3857c2_Name">
    <vt:lpwstr>Internal to Wipro</vt:lpwstr>
  </property>
  <property fmtid="{D5CDD505-2E9C-101B-9397-08002B2CF9AE}" pid="9" name="MSIP_Label_f65b3423-ec78-4b3c-9693-96b88a3857c2_SiteId">
    <vt:lpwstr>258ac4e4-146a-411e-9dc8-79a9e12fd6da</vt:lpwstr>
  </property>
  <property fmtid="{D5CDD505-2E9C-101B-9397-08002B2CF9AE}" pid="10" name="MSIP_Label_f65b3423-ec78-4b3c-9693-96b88a3857c2_ActionId">
    <vt:lpwstr>cf70b530-029c-4643-844b-8f6bf38c7c54</vt:lpwstr>
  </property>
  <property fmtid="{D5CDD505-2E9C-101B-9397-08002B2CF9AE}" pid="11" name="MSIP_Label_f65b3423-ec78-4b3c-9693-96b88a3857c2_ContentBits">
    <vt:lpwstr>2</vt:lpwstr>
  </property>
</Properties>
</file>