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F43A0" w14:textId="2A9F1F3C" w:rsidR="00BE201B" w:rsidRPr="00BE201B" w:rsidRDefault="00BE201B" w:rsidP="00BE201B">
      <w:pPr>
        <w:jc w:val="center"/>
        <w:rPr>
          <w:rFonts w:ascii="Century Gothic" w:hAnsi="Century Gothic"/>
          <w:b/>
          <w:bCs/>
          <w:sz w:val="26"/>
          <w:szCs w:val="26"/>
          <w:u w:val="single"/>
        </w:rPr>
      </w:pPr>
      <w:r w:rsidRPr="00BE201B">
        <w:rPr>
          <w:rFonts w:ascii="Century Gothic" w:hAnsi="Century Gothic"/>
          <w:b/>
          <w:bCs/>
          <w:sz w:val="26"/>
          <w:szCs w:val="26"/>
          <w:u w:val="single"/>
        </w:rPr>
        <w:t>BP Articles results</w:t>
      </w:r>
    </w:p>
    <w:p w14:paraId="62681BEB" w14:textId="77777777" w:rsidR="00BE201B" w:rsidRDefault="00BE201B" w:rsidP="00BE201B">
      <w:pPr>
        <w:rPr>
          <w:rFonts w:ascii="Century Gothic" w:hAnsi="Century Gothic"/>
          <w:sz w:val="20"/>
          <w:szCs w:val="20"/>
        </w:rPr>
      </w:pPr>
    </w:p>
    <w:p w14:paraId="32D857D7" w14:textId="746E8FA9" w:rsidR="00124CDE" w:rsidRPr="00BE201B" w:rsidRDefault="00BE201B" w:rsidP="00BE201B">
      <w:pPr>
        <w:rPr>
          <w:rFonts w:ascii="Century Gothic" w:hAnsi="Century Gothic"/>
          <w:b/>
          <w:bCs/>
        </w:rPr>
      </w:pPr>
      <w:r>
        <w:rPr>
          <w:rFonts w:ascii="Century Gothic" w:hAnsi="Century Gothic"/>
          <w:b/>
          <w:bCs/>
        </w:rPr>
        <w:t xml:space="preserve">1. </w:t>
      </w:r>
      <w:r w:rsidRPr="00BE201B">
        <w:rPr>
          <w:rFonts w:ascii="Century Gothic" w:hAnsi="Century Gothic"/>
          <w:b/>
          <w:bCs/>
        </w:rPr>
        <w:t xml:space="preserve">Article - </w:t>
      </w:r>
      <w:r w:rsidRPr="00BE201B">
        <w:rPr>
          <w:rFonts w:ascii="Century Gothic" w:hAnsi="Century Gothic"/>
          <w:b/>
          <w:bCs/>
        </w:rPr>
        <w:t>An uncertain beginning</w:t>
      </w:r>
      <w:r w:rsidRPr="00BE201B">
        <w:rPr>
          <w:rFonts w:ascii="Century Gothic" w:hAnsi="Century Gothic"/>
          <w:b/>
          <w:bCs/>
        </w:rPr>
        <w:t>.pdf</w:t>
      </w:r>
      <w:r>
        <w:rPr>
          <w:rFonts w:ascii="Century Gothic" w:hAnsi="Century Gothic"/>
          <w:b/>
          <w:bCs/>
        </w:rPr>
        <w:t xml:space="preserve">  </w:t>
      </w:r>
      <w:r>
        <w:object w:dxaOrig="1534" w:dyaOrig="991" w14:anchorId="3DBC7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9.55pt" o:ole="">
            <v:imagedata r:id="rId7" o:title=""/>
          </v:shape>
          <o:OLEObject Type="Embed" ProgID="AcroExch.Document.DC" ShapeID="_x0000_i1025" DrawAspect="Icon" ObjectID="_1715421221" r:id="rId8"/>
        </w:object>
      </w:r>
    </w:p>
    <w:p w14:paraId="73527496" w14:textId="5FB6549E" w:rsidR="00BE201B" w:rsidRDefault="00BE201B" w:rsidP="00BE201B">
      <w:pPr>
        <w:ind w:firstLine="720"/>
        <w:rPr>
          <w:rFonts w:ascii="Century Gothic" w:hAnsi="Century Gothic"/>
          <w:sz w:val="20"/>
          <w:szCs w:val="20"/>
        </w:rPr>
      </w:pPr>
      <w:r w:rsidRPr="00BE201B">
        <w:rPr>
          <w:rFonts w:ascii="Century Gothic" w:hAnsi="Century Gothic"/>
          <w:sz w:val="20"/>
          <w:szCs w:val="20"/>
          <w:u w:val="single"/>
        </w:rPr>
        <w:t>Engine – New Instruct Davinci</w:t>
      </w:r>
      <w:r w:rsidRPr="00BE201B">
        <w:rPr>
          <w:rFonts w:ascii="Century Gothic" w:hAnsi="Century Gothic"/>
          <w:sz w:val="20"/>
          <w:szCs w:val="20"/>
        </w:rPr>
        <w:t>:</w:t>
      </w:r>
    </w:p>
    <w:p w14:paraId="70D929A8" w14:textId="6BED7EDB" w:rsidR="00BE201B" w:rsidRDefault="00BE201B" w:rsidP="00BE201B">
      <w:pPr>
        <w:ind w:firstLine="720"/>
        <w:rPr>
          <w:rFonts w:ascii="Century Gothic" w:hAnsi="Century Gothic"/>
          <w:sz w:val="20"/>
          <w:szCs w:val="20"/>
        </w:rPr>
      </w:pPr>
      <w:r>
        <w:rPr>
          <w:rFonts w:ascii="Century Gothic" w:hAnsi="Century Gothic"/>
          <w:sz w:val="20"/>
          <w:szCs w:val="20"/>
        </w:rPr>
        <w:tab/>
        <w:t xml:space="preserve">Summary - </w:t>
      </w:r>
      <w:r w:rsidRPr="00BE201B">
        <w:rPr>
          <w:rFonts w:ascii="Century Gothic" w:hAnsi="Century Gothic"/>
          <w:sz w:val="20"/>
          <w:szCs w:val="20"/>
        </w:rPr>
        <w:t>George Reynolds was an explorer who was hired by William D'Arcy to find oil in Persia. After years of searching, they finally struck oil in 1908. This event led to the formation of the Anglo-Persian Oil Company, which would later become BP.</w:t>
      </w:r>
    </w:p>
    <w:p w14:paraId="238FDE8A" w14:textId="77777777" w:rsidR="005967B7" w:rsidRDefault="005967B7" w:rsidP="00BE201B">
      <w:pPr>
        <w:ind w:firstLine="720"/>
        <w:rPr>
          <w:rFonts w:ascii="Century Gothic" w:hAnsi="Century Gothic"/>
          <w:sz w:val="20"/>
          <w:szCs w:val="20"/>
          <w:u w:val="single"/>
        </w:rPr>
      </w:pPr>
    </w:p>
    <w:p w14:paraId="5AEBC143" w14:textId="534545B4" w:rsidR="00BE201B" w:rsidRDefault="00BE201B" w:rsidP="00BE201B">
      <w:pPr>
        <w:ind w:firstLine="720"/>
        <w:rPr>
          <w:rFonts w:ascii="Century Gothic" w:hAnsi="Century Gothic"/>
          <w:sz w:val="20"/>
          <w:szCs w:val="20"/>
        </w:rPr>
      </w:pPr>
      <w:r w:rsidRPr="00BE201B">
        <w:rPr>
          <w:rFonts w:ascii="Century Gothic" w:hAnsi="Century Gothic"/>
          <w:sz w:val="20"/>
          <w:szCs w:val="20"/>
          <w:u w:val="single"/>
        </w:rPr>
        <w:t>Engine – New Instruct Davinci</w:t>
      </w:r>
      <w:r w:rsidRPr="00BE201B">
        <w:rPr>
          <w:rFonts w:ascii="Century Gothic" w:hAnsi="Century Gothic"/>
          <w:sz w:val="20"/>
          <w:szCs w:val="20"/>
        </w:rPr>
        <w:t>:</w:t>
      </w:r>
    </w:p>
    <w:p w14:paraId="112887BB" w14:textId="3C5571DF" w:rsidR="00BE201B" w:rsidRDefault="00BE201B" w:rsidP="00BE201B">
      <w:pPr>
        <w:ind w:firstLine="720"/>
        <w:rPr>
          <w:rFonts w:ascii="Century Gothic" w:hAnsi="Century Gothic"/>
          <w:sz w:val="20"/>
          <w:szCs w:val="20"/>
        </w:rPr>
      </w:pPr>
      <w:r>
        <w:rPr>
          <w:rFonts w:ascii="Century Gothic" w:hAnsi="Century Gothic"/>
          <w:sz w:val="20"/>
          <w:szCs w:val="20"/>
        </w:rPr>
        <w:tab/>
        <w:t xml:space="preserve">Summary - </w:t>
      </w:r>
      <w:r w:rsidRPr="00BE201B">
        <w:rPr>
          <w:rFonts w:ascii="Century Gothic" w:hAnsi="Century Gothic"/>
          <w:sz w:val="20"/>
          <w:szCs w:val="20"/>
        </w:rPr>
        <w:t>After years of exploration, George Reynolds finds oil in Persia, saving William Knox D'Arcy from financial ruin.</w:t>
      </w:r>
    </w:p>
    <w:p w14:paraId="18247193" w14:textId="7404C516" w:rsidR="00BE201B" w:rsidRDefault="00BE201B" w:rsidP="00BE201B">
      <w:pPr>
        <w:ind w:firstLine="720"/>
        <w:rPr>
          <w:rFonts w:ascii="Century Gothic" w:hAnsi="Century Gothic"/>
          <w:sz w:val="20"/>
          <w:szCs w:val="20"/>
        </w:rPr>
      </w:pPr>
      <w:r w:rsidRPr="00BE201B">
        <w:rPr>
          <w:rFonts w:ascii="Century Gothic" w:hAnsi="Century Gothic"/>
          <w:sz w:val="20"/>
          <w:szCs w:val="20"/>
          <w:u w:val="single"/>
        </w:rPr>
        <w:t>Engine –</w:t>
      </w:r>
      <w:r>
        <w:rPr>
          <w:rFonts w:ascii="Century Gothic" w:hAnsi="Century Gothic"/>
          <w:sz w:val="20"/>
          <w:szCs w:val="20"/>
          <w:u w:val="single"/>
        </w:rPr>
        <w:t xml:space="preserve"> </w:t>
      </w:r>
      <w:r w:rsidRPr="00BE201B">
        <w:rPr>
          <w:rFonts w:ascii="Century Gothic" w:hAnsi="Century Gothic"/>
          <w:sz w:val="20"/>
          <w:szCs w:val="20"/>
          <w:u w:val="single"/>
        </w:rPr>
        <w:t xml:space="preserve">Instruct </w:t>
      </w:r>
      <w:r>
        <w:rPr>
          <w:rFonts w:ascii="Century Gothic" w:hAnsi="Century Gothic"/>
          <w:sz w:val="20"/>
          <w:szCs w:val="20"/>
          <w:u w:val="single"/>
        </w:rPr>
        <w:t>Curie</w:t>
      </w:r>
      <w:r w:rsidRPr="00BE201B">
        <w:rPr>
          <w:rFonts w:ascii="Century Gothic" w:hAnsi="Century Gothic"/>
          <w:sz w:val="20"/>
          <w:szCs w:val="20"/>
        </w:rPr>
        <w:t>:</w:t>
      </w:r>
    </w:p>
    <w:p w14:paraId="34FE3AD9" w14:textId="4A3AC305" w:rsidR="00BE201B" w:rsidRDefault="00BE201B" w:rsidP="00BE201B">
      <w:pPr>
        <w:ind w:firstLine="720"/>
        <w:rPr>
          <w:rFonts w:ascii="Century Gothic" w:hAnsi="Century Gothic"/>
          <w:sz w:val="20"/>
          <w:szCs w:val="20"/>
        </w:rPr>
      </w:pPr>
      <w:r>
        <w:rPr>
          <w:rFonts w:ascii="Century Gothic" w:hAnsi="Century Gothic"/>
          <w:sz w:val="20"/>
          <w:szCs w:val="20"/>
        </w:rPr>
        <w:tab/>
        <w:t xml:space="preserve">Summary - </w:t>
      </w:r>
      <w:r w:rsidRPr="00BE201B">
        <w:rPr>
          <w:rFonts w:ascii="Century Gothic" w:hAnsi="Century Gothic"/>
          <w:sz w:val="20"/>
          <w:szCs w:val="20"/>
        </w:rPr>
        <w:t>In 1908, an explorer named George Reynolds discovered oil in Persia, leading to the founding of the Anglo-Persian Oil Company.</w:t>
      </w:r>
    </w:p>
    <w:p w14:paraId="4D888E58" w14:textId="4F8C8EFD" w:rsidR="00883C87" w:rsidRDefault="00883C87" w:rsidP="00883C87">
      <w:pPr>
        <w:rPr>
          <w:rFonts w:ascii="Century Gothic" w:hAnsi="Century Gothic"/>
          <w:sz w:val="20"/>
          <w:szCs w:val="20"/>
        </w:rPr>
      </w:pPr>
    </w:p>
    <w:p w14:paraId="7FC2124E" w14:textId="77777777" w:rsidR="005967B7" w:rsidRDefault="005967B7" w:rsidP="00883C87">
      <w:pPr>
        <w:rPr>
          <w:rFonts w:ascii="Century Gothic" w:hAnsi="Century Gothic"/>
          <w:b/>
          <w:bCs/>
        </w:rPr>
      </w:pPr>
    </w:p>
    <w:p w14:paraId="65DE71FC" w14:textId="48DA74DD" w:rsidR="00883C87" w:rsidRPr="00BE201B" w:rsidRDefault="00883C87" w:rsidP="00883C87">
      <w:pPr>
        <w:rPr>
          <w:rFonts w:ascii="Century Gothic" w:hAnsi="Century Gothic"/>
          <w:b/>
          <w:bCs/>
        </w:rPr>
      </w:pPr>
      <w:r>
        <w:rPr>
          <w:rFonts w:ascii="Century Gothic" w:hAnsi="Century Gothic"/>
          <w:b/>
          <w:bCs/>
        </w:rPr>
        <w:t>2</w:t>
      </w:r>
      <w:r>
        <w:rPr>
          <w:rFonts w:ascii="Century Gothic" w:hAnsi="Century Gothic"/>
          <w:b/>
          <w:bCs/>
        </w:rPr>
        <w:t xml:space="preserve">. </w:t>
      </w:r>
      <w:r w:rsidRPr="00BE201B">
        <w:rPr>
          <w:rFonts w:ascii="Century Gothic" w:hAnsi="Century Gothic"/>
          <w:b/>
          <w:bCs/>
        </w:rPr>
        <w:t xml:space="preserve">Article - </w:t>
      </w:r>
      <w:r w:rsidRPr="00883C87">
        <w:rPr>
          <w:rFonts w:ascii="Century Gothic" w:hAnsi="Century Gothic"/>
          <w:b/>
          <w:bCs/>
        </w:rPr>
        <w:t>BPs impact on the UK economy</w:t>
      </w:r>
      <w:r w:rsidRPr="00BE201B">
        <w:rPr>
          <w:rFonts w:ascii="Century Gothic" w:hAnsi="Century Gothic"/>
          <w:b/>
          <w:bCs/>
        </w:rPr>
        <w:t>.pdf</w:t>
      </w:r>
      <w:r>
        <w:rPr>
          <w:rFonts w:ascii="Century Gothic" w:hAnsi="Century Gothic"/>
          <w:b/>
          <w:bCs/>
        </w:rPr>
        <w:t xml:space="preserve">  </w:t>
      </w:r>
      <w:r>
        <w:object w:dxaOrig="1534" w:dyaOrig="991" w14:anchorId="34305217">
          <v:shape id="_x0000_i1028" type="#_x0000_t75" style="width:76.7pt;height:49.55pt" o:ole="">
            <v:imagedata r:id="rId9" o:title=""/>
          </v:shape>
          <o:OLEObject Type="Embed" ProgID="AcroExch.Document.DC" ShapeID="_x0000_i1028" DrawAspect="Icon" ObjectID="_1715421222" r:id="rId10"/>
        </w:object>
      </w:r>
    </w:p>
    <w:p w14:paraId="21C7BC5F" w14:textId="77777777" w:rsidR="00883C87" w:rsidRDefault="00883C87" w:rsidP="00883C87">
      <w:pPr>
        <w:ind w:firstLine="720"/>
        <w:rPr>
          <w:rFonts w:ascii="Century Gothic" w:hAnsi="Century Gothic"/>
          <w:sz w:val="20"/>
          <w:szCs w:val="20"/>
        </w:rPr>
      </w:pPr>
      <w:r w:rsidRPr="00BE201B">
        <w:rPr>
          <w:rFonts w:ascii="Century Gothic" w:hAnsi="Century Gothic"/>
          <w:sz w:val="20"/>
          <w:szCs w:val="20"/>
          <w:u w:val="single"/>
        </w:rPr>
        <w:t>Engine – New Instruct Davinci</w:t>
      </w:r>
      <w:r w:rsidRPr="00BE201B">
        <w:rPr>
          <w:rFonts w:ascii="Century Gothic" w:hAnsi="Century Gothic"/>
          <w:sz w:val="20"/>
          <w:szCs w:val="20"/>
        </w:rPr>
        <w:t>:</w:t>
      </w:r>
    </w:p>
    <w:p w14:paraId="5D39AD1F" w14:textId="77777777" w:rsidR="00883C87" w:rsidRDefault="00883C87" w:rsidP="00883C87">
      <w:pPr>
        <w:ind w:firstLine="720"/>
        <w:rPr>
          <w:rFonts w:ascii="Century Gothic" w:hAnsi="Century Gothic"/>
          <w:sz w:val="20"/>
          <w:szCs w:val="20"/>
        </w:rPr>
      </w:pPr>
      <w:r>
        <w:rPr>
          <w:rFonts w:ascii="Century Gothic" w:hAnsi="Century Gothic"/>
          <w:sz w:val="20"/>
          <w:szCs w:val="20"/>
        </w:rPr>
        <w:tab/>
        <w:t xml:space="preserve">Summary - </w:t>
      </w:r>
      <w:r w:rsidRPr="00883C87">
        <w:rPr>
          <w:rFonts w:ascii="Century Gothic" w:hAnsi="Century Gothic"/>
          <w:sz w:val="20"/>
          <w:szCs w:val="20"/>
        </w:rPr>
        <w:t>BP's operations in the UK supported 141,860 jobs and contributed £9.6 billion to the UK's gross domestic product in 2017.</w:t>
      </w:r>
    </w:p>
    <w:p w14:paraId="736C196D" w14:textId="77777777" w:rsidR="005967B7" w:rsidRDefault="005967B7" w:rsidP="00883C87">
      <w:pPr>
        <w:ind w:firstLine="720"/>
        <w:rPr>
          <w:rFonts w:ascii="Century Gothic" w:hAnsi="Century Gothic"/>
          <w:sz w:val="20"/>
          <w:szCs w:val="20"/>
          <w:u w:val="single"/>
        </w:rPr>
      </w:pPr>
    </w:p>
    <w:p w14:paraId="3544B15D" w14:textId="7609DCE4" w:rsidR="00883C87" w:rsidRDefault="00883C87" w:rsidP="00883C87">
      <w:pPr>
        <w:ind w:firstLine="720"/>
        <w:rPr>
          <w:rFonts w:ascii="Century Gothic" w:hAnsi="Century Gothic"/>
          <w:sz w:val="20"/>
          <w:szCs w:val="20"/>
        </w:rPr>
      </w:pPr>
      <w:r w:rsidRPr="00BE201B">
        <w:rPr>
          <w:rFonts w:ascii="Century Gothic" w:hAnsi="Century Gothic"/>
          <w:sz w:val="20"/>
          <w:szCs w:val="20"/>
          <w:u w:val="single"/>
        </w:rPr>
        <w:t>Engine – New Instruct Davinci</w:t>
      </w:r>
      <w:r w:rsidRPr="00BE201B">
        <w:rPr>
          <w:rFonts w:ascii="Century Gothic" w:hAnsi="Century Gothic"/>
          <w:sz w:val="20"/>
          <w:szCs w:val="20"/>
        </w:rPr>
        <w:t>:</w:t>
      </w:r>
    </w:p>
    <w:p w14:paraId="27551833" w14:textId="2CFFAE39" w:rsidR="00883C87" w:rsidRDefault="00883C87" w:rsidP="00883C87">
      <w:pPr>
        <w:ind w:firstLine="720"/>
        <w:rPr>
          <w:rFonts w:ascii="Century Gothic" w:hAnsi="Century Gothic"/>
          <w:sz w:val="20"/>
          <w:szCs w:val="20"/>
        </w:rPr>
      </w:pPr>
      <w:r>
        <w:rPr>
          <w:rFonts w:ascii="Century Gothic" w:hAnsi="Century Gothic"/>
          <w:sz w:val="20"/>
          <w:szCs w:val="20"/>
        </w:rPr>
        <w:tab/>
        <w:t xml:space="preserve">Summary - </w:t>
      </w:r>
      <w:r w:rsidR="00333BC3" w:rsidRPr="00333BC3">
        <w:rPr>
          <w:rFonts w:ascii="Century Gothic" w:hAnsi="Century Gothic"/>
          <w:sz w:val="20"/>
          <w:szCs w:val="20"/>
        </w:rPr>
        <w:t>BP is a large contributor to the UK economy, supporting 141,860 jobs and contributing £9.6 billion to GDP. Its operations touch every part of the UK, and it spends a total of £7.1 billion with UK suppliers. BP's activities support 1 in every 226 jobs in the UK, or 0.4% of all employment.</w:t>
      </w:r>
    </w:p>
    <w:p w14:paraId="627BA69A" w14:textId="77777777" w:rsidR="005967B7" w:rsidRDefault="005967B7" w:rsidP="00883C87">
      <w:pPr>
        <w:ind w:firstLine="720"/>
        <w:rPr>
          <w:rFonts w:ascii="Century Gothic" w:hAnsi="Century Gothic"/>
          <w:sz w:val="20"/>
          <w:szCs w:val="20"/>
          <w:u w:val="single"/>
        </w:rPr>
      </w:pPr>
    </w:p>
    <w:p w14:paraId="068E2716" w14:textId="15185B84" w:rsidR="00883C87" w:rsidRDefault="00883C87" w:rsidP="00883C87">
      <w:pPr>
        <w:ind w:firstLine="720"/>
        <w:rPr>
          <w:rFonts w:ascii="Century Gothic" w:hAnsi="Century Gothic"/>
          <w:sz w:val="20"/>
          <w:szCs w:val="20"/>
        </w:rPr>
      </w:pPr>
      <w:r w:rsidRPr="00BE201B">
        <w:rPr>
          <w:rFonts w:ascii="Century Gothic" w:hAnsi="Century Gothic"/>
          <w:sz w:val="20"/>
          <w:szCs w:val="20"/>
          <w:u w:val="single"/>
        </w:rPr>
        <w:t>Engine –</w:t>
      </w:r>
      <w:r>
        <w:rPr>
          <w:rFonts w:ascii="Century Gothic" w:hAnsi="Century Gothic"/>
          <w:sz w:val="20"/>
          <w:szCs w:val="20"/>
          <w:u w:val="single"/>
        </w:rPr>
        <w:t xml:space="preserve"> </w:t>
      </w:r>
      <w:r w:rsidRPr="00BE201B">
        <w:rPr>
          <w:rFonts w:ascii="Century Gothic" w:hAnsi="Century Gothic"/>
          <w:sz w:val="20"/>
          <w:szCs w:val="20"/>
          <w:u w:val="single"/>
        </w:rPr>
        <w:t xml:space="preserve">Instruct </w:t>
      </w:r>
      <w:r>
        <w:rPr>
          <w:rFonts w:ascii="Century Gothic" w:hAnsi="Century Gothic"/>
          <w:sz w:val="20"/>
          <w:szCs w:val="20"/>
          <w:u w:val="single"/>
        </w:rPr>
        <w:t>Curie</w:t>
      </w:r>
      <w:r w:rsidRPr="00BE201B">
        <w:rPr>
          <w:rFonts w:ascii="Century Gothic" w:hAnsi="Century Gothic"/>
          <w:sz w:val="20"/>
          <w:szCs w:val="20"/>
        </w:rPr>
        <w:t>:</w:t>
      </w:r>
    </w:p>
    <w:p w14:paraId="167E2035" w14:textId="0144D636" w:rsidR="00883C87" w:rsidRDefault="00883C87" w:rsidP="005967B7">
      <w:pPr>
        <w:ind w:firstLine="720"/>
        <w:rPr>
          <w:rFonts w:ascii="Century Gothic" w:hAnsi="Century Gothic"/>
          <w:sz w:val="20"/>
          <w:szCs w:val="20"/>
        </w:rPr>
      </w:pPr>
      <w:r>
        <w:rPr>
          <w:rFonts w:ascii="Century Gothic" w:hAnsi="Century Gothic"/>
          <w:sz w:val="20"/>
          <w:szCs w:val="20"/>
        </w:rPr>
        <w:tab/>
        <w:t xml:space="preserve">Summary - </w:t>
      </w:r>
      <w:r w:rsidR="005967B7" w:rsidRPr="005967B7">
        <w:rPr>
          <w:rFonts w:ascii="Century Gothic" w:hAnsi="Century Gothic"/>
          <w:sz w:val="20"/>
          <w:szCs w:val="20"/>
        </w:rPr>
        <w:t>BP supports more than 141,860 jobs and contributes £9.6 billion to the UK’s gross domestic product, with around £1 in every £285 paid in taxes.</w:t>
      </w:r>
    </w:p>
    <w:p w14:paraId="5E565FAB" w14:textId="77777777" w:rsidR="00883C87" w:rsidRPr="00BE201B" w:rsidRDefault="00883C87" w:rsidP="00883C87">
      <w:pPr>
        <w:rPr>
          <w:rFonts w:ascii="Century Gothic" w:hAnsi="Century Gothic"/>
          <w:sz w:val="20"/>
          <w:szCs w:val="20"/>
          <w:u w:val="single"/>
        </w:rPr>
      </w:pPr>
    </w:p>
    <w:sectPr w:rsidR="00883C87" w:rsidRPr="00BE201B">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E8E8B" w14:textId="77777777" w:rsidR="005903FD" w:rsidRDefault="005903FD" w:rsidP="00C86BA9">
      <w:pPr>
        <w:spacing w:after="0" w:line="240" w:lineRule="auto"/>
      </w:pPr>
      <w:r>
        <w:separator/>
      </w:r>
    </w:p>
  </w:endnote>
  <w:endnote w:type="continuationSeparator" w:id="0">
    <w:p w14:paraId="0358F8F4" w14:textId="77777777" w:rsidR="005903FD" w:rsidRDefault="005903FD" w:rsidP="00C86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54B54" w14:textId="77777777" w:rsidR="00C86BA9" w:rsidRDefault="00C86BA9">
    <w:pPr>
      <w:pStyle w:val="Footer"/>
    </w:pPr>
    <w:r>
      <w:rPr>
        <w:noProof/>
      </w:rPr>
      <mc:AlternateContent>
        <mc:Choice Requires="wps">
          <w:drawing>
            <wp:anchor distT="0" distB="0" distL="0" distR="0" simplePos="0" relativeHeight="251659264" behindDoc="0" locked="0" layoutInCell="1" allowOverlap="1" wp14:anchorId="78D1B7B0" wp14:editId="2080C15E">
              <wp:simplePos x="635" y="635"/>
              <wp:positionH relativeFrom="leftMargin">
                <wp:align>left</wp:align>
              </wp:positionH>
              <wp:positionV relativeFrom="paragraph">
                <wp:posOffset>635</wp:posOffset>
              </wp:positionV>
              <wp:extent cx="443865" cy="443865"/>
              <wp:effectExtent l="0" t="0" r="15240" b="17145"/>
              <wp:wrapSquare wrapText="bothSides"/>
              <wp:docPr id="2" name="Text Box 2" descr="Internal to Wipr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8E0EC29" w14:textId="77777777" w:rsidR="00C86BA9" w:rsidRPr="00C86BA9" w:rsidRDefault="00C86BA9">
                          <w:pPr>
                            <w:rPr>
                              <w:rFonts w:ascii="Calibri" w:eastAsia="Calibri" w:hAnsi="Calibri" w:cs="Calibri"/>
                              <w:noProof/>
                              <w:color w:val="000000"/>
                              <w:sz w:val="20"/>
                              <w:szCs w:val="20"/>
                            </w:rPr>
                          </w:pPr>
                          <w:r w:rsidRPr="00C86BA9">
                            <w:rPr>
                              <w:rFonts w:ascii="Calibri" w:eastAsia="Calibri" w:hAnsi="Calibri" w:cs="Calibri"/>
                              <w:noProof/>
                              <w:color w:val="000000"/>
                              <w:sz w:val="20"/>
                              <w:szCs w:val="20"/>
                            </w:rPr>
                            <w:t>Internal to Wipro</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8D1B7B0" id="_x0000_t202" coordsize="21600,21600" o:spt="202" path="m,l,21600r21600,l21600,xe">
              <v:stroke joinstyle="miter"/>
              <v:path gradientshapeok="t" o:connecttype="rect"/>
            </v:shapetype>
            <v:shape id="Text Box 2" o:spid="_x0000_s1026" type="#_x0000_t202" alt="Internal to Wipro"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fill o:detectmouseclick="t"/>
              <v:textbox style="mso-fit-shape-to-text:t" inset="5pt,0,0,0">
                <w:txbxContent>
                  <w:p w14:paraId="68E0EC29" w14:textId="77777777" w:rsidR="00C86BA9" w:rsidRPr="00C86BA9" w:rsidRDefault="00C86BA9">
                    <w:pPr>
                      <w:rPr>
                        <w:rFonts w:ascii="Calibri" w:eastAsia="Calibri" w:hAnsi="Calibri" w:cs="Calibri"/>
                        <w:noProof/>
                        <w:color w:val="000000"/>
                        <w:sz w:val="20"/>
                        <w:szCs w:val="20"/>
                      </w:rPr>
                    </w:pPr>
                    <w:r w:rsidRPr="00C86BA9">
                      <w:rPr>
                        <w:rFonts w:ascii="Calibri" w:eastAsia="Calibri" w:hAnsi="Calibri" w:cs="Calibri"/>
                        <w:noProof/>
                        <w:color w:val="000000"/>
                        <w:sz w:val="20"/>
                        <w:szCs w:val="20"/>
                      </w:rPr>
                      <w:t>Internal to Wipro</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7AD7E" w14:textId="77777777" w:rsidR="00C86BA9" w:rsidRDefault="00C86BA9">
    <w:pPr>
      <w:pStyle w:val="Footer"/>
    </w:pPr>
    <w:r>
      <w:rPr>
        <w:noProof/>
      </w:rPr>
      <mc:AlternateContent>
        <mc:Choice Requires="wps">
          <w:drawing>
            <wp:anchor distT="0" distB="0" distL="0" distR="0" simplePos="0" relativeHeight="251660288" behindDoc="0" locked="0" layoutInCell="1" allowOverlap="1" wp14:anchorId="0686F251" wp14:editId="020AC5A0">
              <wp:simplePos x="914400" y="10067925"/>
              <wp:positionH relativeFrom="leftMargin">
                <wp:align>left</wp:align>
              </wp:positionH>
              <wp:positionV relativeFrom="paragraph">
                <wp:posOffset>635</wp:posOffset>
              </wp:positionV>
              <wp:extent cx="443865" cy="443865"/>
              <wp:effectExtent l="0" t="0" r="15240" b="17145"/>
              <wp:wrapSquare wrapText="bothSides"/>
              <wp:docPr id="3" name="Text Box 3" descr="Internal to Wipr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8A051B" w14:textId="77777777" w:rsidR="00C86BA9" w:rsidRPr="00C86BA9" w:rsidRDefault="00C86BA9">
                          <w:pPr>
                            <w:rPr>
                              <w:rFonts w:ascii="Calibri" w:eastAsia="Calibri" w:hAnsi="Calibri" w:cs="Calibri"/>
                              <w:noProof/>
                              <w:color w:val="000000"/>
                              <w:sz w:val="20"/>
                              <w:szCs w:val="20"/>
                            </w:rPr>
                          </w:pPr>
                          <w:r w:rsidRPr="00C86BA9">
                            <w:rPr>
                              <w:rFonts w:ascii="Calibri" w:eastAsia="Calibri" w:hAnsi="Calibri" w:cs="Calibri"/>
                              <w:noProof/>
                              <w:color w:val="000000"/>
                              <w:sz w:val="20"/>
                              <w:szCs w:val="20"/>
                            </w:rPr>
                            <w:t>Internal to Wipro</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0686F251" id="_x0000_t202" coordsize="21600,21600" o:spt="202" path="m,l,21600r21600,l21600,xe">
              <v:stroke joinstyle="miter"/>
              <v:path gradientshapeok="t" o:connecttype="rect"/>
            </v:shapetype>
            <v:shape id="Text Box 3" o:spid="_x0000_s1027" type="#_x0000_t202" alt="Internal to Wipro"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fill o:detectmouseclick="t"/>
              <v:textbox style="mso-fit-shape-to-text:t" inset="5pt,0,0,0">
                <w:txbxContent>
                  <w:p w14:paraId="3E8A051B" w14:textId="77777777" w:rsidR="00C86BA9" w:rsidRPr="00C86BA9" w:rsidRDefault="00C86BA9">
                    <w:pPr>
                      <w:rPr>
                        <w:rFonts w:ascii="Calibri" w:eastAsia="Calibri" w:hAnsi="Calibri" w:cs="Calibri"/>
                        <w:noProof/>
                        <w:color w:val="000000"/>
                        <w:sz w:val="20"/>
                        <w:szCs w:val="20"/>
                      </w:rPr>
                    </w:pPr>
                    <w:r w:rsidRPr="00C86BA9">
                      <w:rPr>
                        <w:rFonts w:ascii="Calibri" w:eastAsia="Calibri" w:hAnsi="Calibri" w:cs="Calibri"/>
                        <w:noProof/>
                        <w:color w:val="000000"/>
                        <w:sz w:val="20"/>
                        <w:szCs w:val="20"/>
                      </w:rPr>
                      <w:t>Internal to Wipro</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5CF92" w14:textId="77777777" w:rsidR="00C86BA9" w:rsidRDefault="00C86BA9">
    <w:pPr>
      <w:pStyle w:val="Footer"/>
    </w:pPr>
    <w:r>
      <w:rPr>
        <w:noProof/>
      </w:rPr>
      <mc:AlternateContent>
        <mc:Choice Requires="wps">
          <w:drawing>
            <wp:anchor distT="0" distB="0" distL="0" distR="0" simplePos="0" relativeHeight="251658240" behindDoc="0" locked="0" layoutInCell="1" allowOverlap="1" wp14:anchorId="724C4771" wp14:editId="735D9C5B">
              <wp:simplePos x="635" y="635"/>
              <wp:positionH relativeFrom="leftMargin">
                <wp:align>left</wp:align>
              </wp:positionH>
              <wp:positionV relativeFrom="paragraph">
                <wp:posOffset>635</wp:posOffset>
              </wp:positionV>
              <wp:extent cx="443865" cy="443865"/>
              <wp:effectExtent l="0" t="0" r="15240" b="17145"/>
              <wp:wrapSquare wrapText="bothSides"/>
              <wp:docPr id="1" name="Text Box 1" descr="Internal to Wipr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444BF6" w14:textId="77777777" w:rsidR="00C86BA9" w:rsidRPr="00C86BA9" w:rsidRDefault="00C86BA9">
                          <w:pPr>
                            <w:rPr>
                              <w:rFonts w:ascii="Calibri" w:eastAsia="Calibri" w:hAnsi="Calibri" w:cs="Calibri"/>
                              <w:noProof/>
                              <w:color w:val="000000"/>
                              <w:sz w:val="20"/>
                              <w:szCs w:val="20"/>
                            </w:rPr>
                          </w:pPr>
                          <w:r w:rsidRPr="00C86BA9">
                            <w:rPr>
                              <w:rFonts w:ascii="Calibri" w:eastAsia="Calibri" w:hAnsi="Calibri" w:cs="Calibri"/>
                              <w:noProof/>
                              <w:color w:val="000000"/>
                              <w:sz w:val="20"/>
                              <w:szCs w:val="20"/>
                            </w:rPr>
                            <w:t>Internal to Wipro</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24C4771" id="_x0000_t202" coordsize="21600,21600" o:spt="202" path="m,l,21600r21600,l21600,xe">
              <v:stroke joinstyle="miter"/>
              <v:path gradientshapeok="t" o:connecttype="rect"/>
            </v:shapetype>
            <v:shape id="Text Box 1" o:spid="_x0000_s1028" type="#_x0000_t202" alt="Internal to Wipro"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fill o:detectmouseclick="t"/>
              <v:textbox style="mso-fit-shape-to-text:t" inset="5pt,0,0,0">
                <w:txbxContent>
                  <w:p w14:paraId="69444BF6" w14:textId="77777777" w:rsidR="00C86BA9" w:rsidRPr="00C86BA9" w:rsidRDefault="00C86BA9">
                    <w:pPr>
                      <w:rPr>
                        <w:rFonts w:ascii="Calibri" w:eastAsia="Calibri" w:hAnsi="Calibri" w:cs="Calibri"/>
                        <w:noProof/>
                        <w:color w:val="000000"/>
                        <w:sz w:val="20"/>
                        <w:szCs w:val="20"/>
                      </w:rPr>
                    </w:pPr>
                    <w:r w:rsidRPr="00C86BA9">
                      <w:rPr>
                        <w:rFonts w:ascii="Calibri" w:eastAsia="Calibri" w:hAnsi="Calibri" w:cs="Calibri"/>
                        <w:noProof/>
                        <w:color w:val="000000"/>
                        <w:sz w:val="20"/>
                        <w:szCs w:val="20"/>
                      </w:rPr>
                      <w:t>Internal to Wipro</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07585" w14:textId="77777777" w:rsidR="005903FD" w:rsidRDefault="005903FD" w:rsidP="00C86BA9">
      <w:pPr>
        <w:spacing w:after="0" w:line="240" w:lineRule="auto"/>
      </w:pPr>
      <w:r>
        <w:separator/>
      </w:r>
    </w:p>
  </w:footnote>
  <w:footnote w:type="continuationSeparator" w:id="0">
    <w:p w14:paraId="0CB08F25" w14:textId="77777777" w:rsidR="005903FD" w:rsidRDefault="005903FD" w:rsidP="00C86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C1A59" w14:textId="77777777" w:rsidR="00C86BA9" w:rsidRDefault="00C86B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408E" w14:textId="77777777" w:rsidR="00C86BA9" w:rsidRDefault="00C86B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452B" w14:textId="77777777" w:rsidR="00C86BA9" w:rsidRDefault="00C86B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26D1F"/>
    <w:multiLevelType w:val="hybridMultilevel"/>
    <w:tmpl w:val="FA2611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C951B0"/>
    <w:multiLevelType w:val="hybridMultilevel"/>
    <w:tmpl w:val="B5B80A8E"/>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BA9"/>
    <w:rsid w:val="000D1E01"/>
    <w:rsid w:val="00124CDE"/>
    <w:rsid w:val="00333BC3"/>
    <w:rsid w:val="003E594D"/>
    <w:rsid w:val="005903FD"/>
    <w:rsid w:val="005967B7"/>
    <w:rsid w:val="00883C87"/>
    <w:rsid w:val="00BE201B"/>
    <w:rsid w:val="00C86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0D932"/>
  <w15:chartTrackingRefBased/>
  <w15:docId w15:val="{E6579D34-CA0F-4DBA-8645-D3D12B79A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6B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BA9"/>
  </w:style>
  <w:style w:type="paragraph" w:styleId="Footer">
    <w:name w:val="footer"/>
    <w:basedOn w:val="Normal"/>
    <w:link w:val="FooterChar"/>
    <w:uiPriority w:val="99"/>
    <w:unhideWhenUsed/>
    <w:rsid w:val="00C86B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BA9"/>
  </w:style>
  <w:style w:type="paragraph" w:styleId="ListParagraph">
    <w:name w:val="List Paragraph"/>
    <w:basedOn w:val="Normal"/>
    <w:uiPriority w:val="34"/>
    <w:qFormat/>
    <w:rsid w:val="00BE2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217</Words>
  <Characters>1242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ALAGIRISAMY</dc:creator>
  <cp:keywords/>
  <dc:description/>
  <cp:lastModifiedBy>VIJAYKUMAR ALAGIRISAMY</cp:lastModifiedBy>
  <cp:revision>4</cp:revision>
  <dcterms:created xsi:type="dcterms:W3CDTF">2022-05-30T07:26:00Z</dcterms:created>
  <dcterms:modified xsi:type="dcterms:W3CDTF">2022-05-30T07:37:00Z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Internal to Wipro</vt:lpwstr>
  </property>
  <property fmtid="{D5CDD505-2E9C-101B-9397-08002B2CF9AE}" pid="5" name="MSIP_Label_f65b3423-ec78-4b3c-9693-96b88a3857c2_Enabled">
    <vt:lpwstr>true</vt:lpwstr>
  </property>
  <property fmtid="{D5CDD505-2E9C-101B-9397-08002B2CF9AE}" pid="6" name="MSIP_Label_f65b3423-ec78-4b3c-9693-96b88a3857c2_SetDate">
    <vt:lpwstr>2022-05-30T07:26:16Z</vt:lpwstr>
  </property>
  <property fmtid="{D5CDD505-2E9C-101B-9397-08002B2CF9AE}" pid="7" name="MSIP_Label_f65b3423-ec78-4b3c-9693-96b88a3857c2_Method">
    <vt:lpwstr>Standard</vt:lpwstr>
  </property>
  <property fmtid="{D5CDD505-2E9C-101B-9397-08002B2CF9AE}" pid="8" name="MSIP_Label_f65b3423-ec78-4b3c-9693-96b88a3857c2_Name">
    <vt:lpwstr>Internal to Wipro</vt:lpwstr>
  </property>
  <property fmtid="{D5CDD505-2E9C-101B-9397-08002B2CF9AE}" pid="9" name="MSIP_Label_f65b3423-ec78-4b3c-9693-96b88a3857c2_SiteId">
    <vt:lpwstr>258ac4e4-146a-411e-9dc8-79a9e12fd6da</vt:lpwstr>
  </property>
  <property fmtid="{D5CDD505-2E9C-101B-9397-08002B2CF9AE}" pid="10" name="MSIP_Label_f65b3423-ec78-4b3c-9693-96b88a3857c2_ActionId">
    <vt:lpwstr>39b18914-3bd4-469d-b775-31e5f5394a02</vt:lpwstr>
  </property>
  <property fmtid="{D5CDD505-2E9C-101B-9397-08002B2CF9AE}" pid="11" name="MSIP_Label_f65b3423-ec78-4b3c-9693-96b88a3857c2_ContentBits">
    <vt:lpwstr>2</vt:lpwstr>
  </property>
</Properties>
</file>