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MRN: DOCX12345 Diagnosis: diabetes</w:t>
      </w:r>
    </w:p>
    <w:p>
      <w:r>
        <w:drawing>
          <wp:inline>
            <wp:extent cx="6000000" cy="3000000"/>
            <wp:docPr id="1" name="Synthetic image"/>
            <a:graphic>
              <a:graphicData uri="http://schemas.openxmlformats.org/drawingml/2006/picture">
                <pic:pic>
                  <pic:nvPicPr>
                    <pic:cNvPr id="0" name="frames.tif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rIdImage" Type="http://schemas.openxmlformats.org/officeDocument/2006/relationships/image" Target="media/frames.tif"/></Relationships>
</file>