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MRN: DOCX12345 Diagnosis: diabetes</w:t>
      </w:r>
    </w:p>
    <w:p>
      <w:r>
        <w:drawing>
          <wp:inline>
            <wp:extent cx="6000000" cy="3000000"/>
            <wp:docPr id="1" name="Synthetic image"/>
            <a:graphic>
              <a:graphicData uri="http://schemas.openxmlformats.org/drawingml/2006/picture">
                <pic:pic>
                  <pic:nvPicPr>
                    <pic:cNvPr id="0" name="printed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printed.png"/></Relationships>
</file>