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1100"/>
        <w:jc w:val="center"/>
      </w:pPr>
      <w:r>
        <w:rPr>
          <w:rFonts w:ascii="Aptos" w:cs="Aptos" w:eastAsia="Aptos" w:hAnsi="Aptos"/>
          <w:b/>
          <w:bCs/>
          <w:i w:val="false"/>
          <w:iCs w:val="false"/>
          <w:color w:val="1E7A78"/>
          <w:sz w:val="28"/>
          <w:szCs w:val="28"/>
        </w:rPr>
        <w:t xml:space="preserve">MICROSOFT FABRIC</w:t>
      </w:r>
    </w:p>
    <w:p>
      <w:pPr>
        <w:spacing w:after="150"/>
        <w:jc w:val="center"/>
      </w:pPr>
      <w:r>
        <w:rPr>
          <w:rFonts w:ascii="Aptos" w:cs="Aptos" w:eastAsia="Aptos" w:hAnsi="Aptos"/>
          <w:b/>
          <w:bCs/>
          <w:i w:val="false"/>
          <w:iCs w:val="false"/>
          <w:color w:val="16324F"/>
          <w:sz w:val="44"/>
          <w:szCs w:val="44"/>
        </w:rPr>
        <w:t xml:space="preserve">Insurance Medallion Platform</w:t>
      </w:r>
    </w:p>
    <w:p>
      <w:pPr>
        <w:spacing w:after="420"/>
        <w:jc w:val="center"/>
      </w:pPr>
      <w:r>
        <w:rPr>
          <w:rFonts w:ascii="Aptos" w:cs="Aptos" w:eastAsia="Aptos" w:hAnsi="Aptos"/>
          <w:b w:val="false"/>
          <w:bCs w:val="false"/>
          <w:i w:val="false"/>
          <w:iCs w:val="false"/>
          <w:color w:val="246B8E"/>
          <w:sz w:val="30"/>
          <w:szCs w:val="30"/>
        </w:rPr>
        <w:t xml:space="preserve">Narrative Interview Preparation Guide</w:t>
      </w:r>
    </w:p>
    <w:p>
      <w:pPr>
        <w:spacing w:after="550" w:before="0" w:line="276"/>
        <w:jc w:val="center"/>
      </w:pPr>
      <w:r>
        <w:rPr>
          <w:rFonts w:ascii="Aptos" w:cs="Aptos" w:eastAsia="Aptos" w:hAnsi="Aptos"/>
          <w:b w:val="false"/>
          <w:bCs w:val="false"/>
          <w:i w:val="false"/>
          <w:iCs w:val="false"/>
          <w:color w:val="263238"/>
          <w:sz w:val="21"/>
          <w:szCs w:val="21"/>
        </w:rPr>
        <w:t xml:space="preserve">An architect-level story from source ingestion to secure Power BI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360"/>
      </w:tblGrid>
      <w:tr>
        <w:tc>
          <w:tcPr>
            <w:tcW w:type="dxa" w:w="9360"/>
            <w:tcBorders>
              <w:top w:val="single" w:color="246B8E" w:sz="8"/>
              <w:left w:val="single" w:color="246B8E" w:sz="8"/>
              <w:bottom w:val="single" w:color="246B8E" w:sz="8"/>
              <w:right w:val="single" w:color="246B8E" w:sz="8"/>
            </w:tcBorders>
            <w:shd w:fill="EAF3F6" w:val="clear"/>
          </w:tcPr>
          <w:p>
            <w:pPr>
              <w:spacing w:after="0" w:before="0" w:line="276"/>
              <w:jc w:val="left"/>
            </w:pPr>
            <w:r>
              <w:rPr>
                <w:rFonts w:ascii="Aptos" w:cs="Aptos" w:eastAsia="Aptos" w:hAnsi="Aptos"/>
                <w:b/>
                <w:bCs/>
                <w:i w:val="false"/>
                <w:iCs w:val="false"/>
                <w:color w:val="246B8E"/>
                <w:sz w:val="21"/>
                <w:szCs w:val="21"/>
              </w:rPr>
              <w:t xml:space="preserve">MEMORY SPINE  </w:t>
            </w:r>
            <w:r>
              <w:rPr>
                <w:rFonts w:ascii="Aptos" w:cs="Aptos" w:eastAsia="Aptos" w:hAnsi="Aptos"/>
                <w:b w:val="false"/>
                <w:bCs w:val="false"/>
                <w:i w:val="false"/>
                <w:iCs w:val="false"/>
                <w:color w:val="263238"/>
                <w:sz w:val="21"/>
                <w:szCs w:val="21"/>
              </w:rPr>
              <w:t xml:space="preserve">Capture → Refine → Validate → Model → Serve → Secure → Operate</w:t>
            </w:r>
          </w:p>
        </w:tc>
      </w:tr>
    </w:tbl>
    <w:p>
      <w:pPr>
        <w:spacing w:after="250" w:before="500" w:line="276"/>
        <w:jc w:val="center"/>
      </w:pPr>
      <w:r>
        <w:rPr>
          <w:rFonts w:ascii="Aptos" w:cs="Aptos" w:eastAsia="Aptos" w:hAnsi="Aptos"/>
          <w:b w:val="false"/>
          <w:bCs w:val="false"/>
          <w:i w:val="false"/>
          <w:iCs w:val="false"/>
          <w:color w:val="5E6B73"/>
          <w:sz w:val="21"/>
          <w:szCs w:val="21"/>
        </w:rPr>
        <w:t xml:space="preserve">Designed as a primary study document: tell the story first, then explain the engineering decisions, alternatives, tradeoffs, and production lessons.</w:t>
      </w:r>
    </w:p>
    <w:p>
      <w:pPr>
        <w:spacing w:after="120" w:before="0" w:line="276"/>
        <w:jc w:val="center"/>
      </w:pPr>
      <w:r>
        <w:rPr>
          <w:rFonts w:ascii="Aptos" w:cs="Aptos" w:eastAsia="Aptos" w:hAnsi="Aptos"/>
          <w:b w:val="false"/>
          <w:bCs w:val="false"/>
          <w:i w:val="false"/>
          <w:iCs w:val="false"/>
          <w:color w:val="5E6B73"/>
          <w:sz w:val="21"/>
          <w:szCs w:val="21"/>
        </w:rPr>
        <w:t xml:space="preserve">Microsoft Fabric • Delta Lake • Direct Lake • Power BI</w:t>
      </w:r>
    </w:p>
    <w:p>
      <w:r>
        <w:br w:type="page"/>
      </w:r>
    </w:p>
    <w:p>
      <w:pPr>
        <w:pStyle w:val="Heading1"/>
        <w:keepNext/>
        <w:spacing w:after="120" w:before="320"/>
      </w:pPr>
      <w:r>
        <w:t xml:space="preserve">How to Use This Guide</w:t>
      </w:r>
    </w:p>
    <w:p>
      <w:pPr>
        <w:spacing w:after="120" w:before="0" w:line="276"/>
        <w:jc w:val="left"/>
      </w:pPr>
      <w:r>
        <w:rPr>
          <w:rFonts w:ascii="Aptos" w:cs="Aptos" w:eastAsia="Aptos" w:hAnsi="Aptos"/>
          <w:b w:val="false"/>
          <w:bCs w:val="false"/>
          <w:i w:val="false"/>
          <w:iCs w:val="false"/>
          <w:color w:val="263238"/>
          <w:sz w:val="21"/>
          <w:szCs w:val="21"/>
        </w:rPr>
        <w:t xml:space="preserve">Interviewers remember coherent decisions more than isolated feature names. Use the project as one connected story: an insurance business needs trustworthy claims and payment insight; raw operational data is captured safely; data is refined and tested; a dimensional model gives it business meaning; Direct Lake serves it quickly; security and operations make it production-ready.</w:t>
      </w:r>
    </w:p>
    <w:p>
      <w:pPr>
        <w:spacing w:after="120" w:before="0" w:line="276"/>
        <w:jc w:val="left"/>
      </w:pPr>
      <w:r>
        <w:rPr>
          <w:rFonts w:ascii="Aptos" w:cs="Aptos" w:eastAsia="Aptos" w:hAnsi="Aptos"/>
          <w:b w:val="false"/>
          <w:bCs w:val="false"/>
          <w:i w:val="false"/>
          <w:iCs w:val="false"/>
          <w:color w:val="263238"/>
          <w:sz w:val="21"/>
          <w:szCs w:val="21"/>
        </w:rPr>
        <w:t xml:space="preserve">For each topic, begin with the narrative answer. If the interviewer wants brevity, use the 30-second version. If they probe, expand using the key points and tradeoffs. Keep returning to the memory spine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360"/>
      </w:tblGrid>
      <w:tr>
        <w:tc>
          <w:tcPr>
            <w:tcW w:type="dxa" w:w="9360"/>
            <w:tcBorders>
              <w:top w:val="single" w:color="246B8E" w:sz="8"/>
              <w:left w:val="single" w:color="246B8E" w:sz="8"/>
              <w:bottom w:val="single" w:color="246B8E" w:sz="8"/>
              <w:right w:val="single" w:color="246B8E" w:sz="8"/>
            </w:tcBorders>
            <w:shd w:fill="EAF3F6" w:val="clear"/>
          </w:tcPr>
          <w:p>
            <w:pPr>
              <w:spacing w:after="0" w:before="0" w:line="276"/>
              <w:jc w:val="left"/>
            </w:pPr>
            <w:r>
              <w:rPr>
                <w:rFonts w:ascii="Aptos" w:cs="Aptos" w:eastAsia="Aptos" w:hAnsi="Aptos"/>
                <w:b/>
                <w:bCs/>
                <w:i w:val="false"/>
                <w:iCs w:val="false"/>
                <w:color w:val="246B8E"/>
                <w:sz w:val="21"/>
                <w:szCs w:val="21"/>
              </w:rPr>
              <w:t xml:space="preserve">THE STORY IN ONE LINE  </w:t>
            </w:r>
            <w:r>
              <w:rPr>
                <w:rFonts w:ascii="Aptos" w:cs="Aptos" w:eastAsia="Aptos" w:hAnsi="Aptos"/>
                <w:b w:val="false"/>
                <w:bCs w:val="false"/>
                <w:i w:val="false"/>
                <w:iCs w:val="false"/>
                <w:color w:val="263238"/>
                <w:sz w:val="21"/>
                <w:szCs w:val="21"/>
              </w:rPr>
              <w:t xml:space="preserve">We captured operational insurance data, refined it incrementally, validated it before promotion, modeled it for analytics, served it through Direct Lake, secured it with RLS, and operated it with auditable, restartable pipelines.</w:t>
            </w:r>
          </w:p>
        </w:tc>
      </w:tr>
    </w:tbl>
    <w:p>
      <w:pPr>
        <w:pStyle w:val="Heading1"/>
        <w:keepNext/>
        <w:spacing w:after="120" w:before="32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20" w:before="320"/>
      </w:pPr>
      <w:r>
        <w:t xml:space="preserve">1. Opening: Walk Me Through the Project</w:t>
      </w:r>
    </w:p>
    <w:p>
      <w:pPr>
        <w:pStyle w:val="Heading2"/>
        <w:keepNext/>
        <w:spacing w:after="120" w:before="220"/>
      </w:pPr>
      <w:r>
        <w:t xml:space="preserve">Tell me about your Microsoft Fabric insurance project.</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Tell me about your Microsoft Fabric insurance project.</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I built an end-to-end insurance analytics platform in Microsoft Fabric. The business needed a reliable view of customers, active policies, claims, payments, outstanding exposure, approval performance, and year-over-year trends. The operational sources were useful for transactions but not designed for consistent analytics, so I separated ingestion, refinement, quality control, dimensional modeling, and consumption.</w:t>
      </w:r>
    </w:p>
    <w:p>
      <w:pPr>
        <w:spacing w:after="120" w:before="0" w:line="276"/>
        <w:jc w:val="left"/>
      </w:pPr>
      <w:r>
        <w:rPr>
          <w:rFonts w:ascii="Aptos" w:cs="Aptos" w:eastAsia="Aptos" w:hAnsi="Aptos"/>
          <w:b w:val="false"/>
          <w:bCs w:val="false"/>
          <w:i w:val="false"/>
          <w:iCs w:val="false"/>
          <w:color w:val="263238"/>
          <w:sz w:val="21"/>
          <w:szCs w:val="21"/>
        </w:rPr>
        <w:t xml:space="preserve">I organized the platform as a Medallion architecture. Bronze preserved source-aligned customer, policy, claim, and payment data for traceability and replay. Silver standardized types and business values, applied incremental watermarks, Delta MERGE upserts, business-key deduplication, and restart-safe processing. A dedicated quality gate tested required fields, duplicates, business rules, and referential integrity; invalid rows went to a reject path with reason codes rather than silently entering reports.</w:t>
      </w:r>
    </w:p>
    <w:p>
      <w:pPr>
        <w:spacing w:after="120" w:before="0" w:line="276"/>
        <w:jc w:val="left"/>
      </w:pPr>
      <w:r>
        <w:rPr>
          <w:rFonts w:ascii="Aptos" w:cs="Aptos" w:eastAsia="Aptos" w:hAnsi="Aptos"/>
          <w:b w:val="false"/>
          <w:bCs w:val="false"/>
          <w:i w:val="false"/>
          <w:iCs w:val="false"/>
          <w:color w:val="263238"/>
          <w:sz w:val="21"/>
          <w:szCs w:val="21"/>
        </w:rPr>
        <w:t xml:space="preserve">Gold implemented a star schema with dim_customer, dim_policy, dim_date, fact_claim, and fact_payment. Unknown members protected fact loading when a dimension key was late or missing, while reconciliations and audit counts proved that rows and amounts moved correctly between layers.</w:t>
      </w:r>
    </w:p>
    <w:p>
      <w:pPr>
        <w:spacing w:after="120" w:before="0" w:line="276"/>
        <w:jc w:val="left"/>
      </w:pPr>
      <w:r>
        <w:rPr>
          <w:rFonts w:ascii="Aptos" w:cs="Aptos" w:eastAsia="Aptos" w:hAnsi="Aptos"/>
          <w:b w:val="false"/>
          <w:bCs w:val="false"/>
          <w:i w:val="false"/>
          <w:iCs w:val="false"/>
          <w:color w:val="263238"/>
          <w:sz w:val="21"/>
          <w:szCs w:val="21"/>
        </w:rPr>
        <w:t xml:space="preserve">A master pipeline orchestrated 01_Load_Bronze → 02_Bronze_To_Silver → 03_Silver_Data_Quality → 04_Silver_To_Gold. It used p_run_mode=INCREMENTAL, p_batch_id=AUTO, and p_environment=DEV, with dependency rules, retries, timeouts, logging, and fail-fast behavior. A real production-style incident involved HTTP 430 TooManyRequestsForCapacity when a Livy Spark session could not start; I diagnosed it as capacity pressure rather than faulty transformation logic, allowed resources to recover, and reran safely because the design was idempotent.</w:t>
      </w:r>
    </w:p>
    <w:p>
      <w:pPr>
        <w:spacing w:after="120" w:before="0" w:line="276"/>
        <w:jc w:val="left"/>
      </w:pPr>
      <w:r>
        <w:rPr>
          <w:rFonts w:ascii="Aptos" w:cs="Aptos" w:eastAsia="Aptos" w:hAnsi="Aptos"/>
          <w:b w:val="false"/>
          <w:bCs w:val="false"/>
          <w:i w:val="false"/>
          <w:iCs w:val="false"/>
          <w:color w:val="263238"/>
          <w:sz w:val="21"/>
          <w:szCs w:val="21"/>
        </w:rPr>
        <w:t xml:space="preserve">On top of Gold, I built a Direct Lake semantic model with one-to-many, single-direction relationships. DAX measures covered claims, payments, outstanding claims, approval rate, paid-to-claim ratio, YTD, prior year, and YoY. Four report pages—Executive Overview, Claims Analysis, Payments Analysis, and Customer &amp; Policy Analysis—served distinct business questions. Row-level security restricted users, for example to dim_customer[state] = "NY", and the relationship path propagated that filter to policy, claim, and payment analysis.</w:t>
      </w:r>
    </w:p>
    <w:p>
      <w:pPr>
        <w:spacing w:after="120" w:before="0" w:line="276"/>
        <w:jc w:val="left"/>
      </w:pPr>
      <w:r>
        <w:rPr>
          <w:rFonts w:ascii="Aptos" w:cs="Aptos" w:eastAsia="Aptos" w:hAnsi="Aptos"/>
          <w:b w:val="false"/>
          <w:bCs w:val="false"/>
          <w:i w:val="false"/>
          <w:iCs w:val="false"/>
          <w:color w:val="263238"/>
          <w:sz w:val="21"/>
          <w:szCs w:val="21"/>
        </w:rPr>
        <w:t xml:space="preserve">The result was not merely a dashboard. It was a governed, traceable, performant analytics product whose processing could be explained, monitored, recovered, and scaled.</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Business need → trusted insurance KPIs, not disconnected operational extracts.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Capture → Bronze retains source fidelity and replayability.</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Refine + Validate → incremental Silver processing plus an explicit quality gate.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Model → Gold star schema, unknown members, reconciliation, and audit.</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Serve + Secure → Direct Lake, DAX, four report pages, and RLS.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Operate → parameterized pipelines, monitoring, retries, safe recovery, and capacity awareness.</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built a Microsoft Fabric insurance platform using Bronze, Silver, and Gold layers. Customer, policy, claim, and payment data was incrementally processed with watermarks, Delta MERGE, deduplication, quality checks, and reject handling. Gold used a star schema and fed a Direct Lake model with business DAX measures and four Power BI pages. The solution also included RLS, reconciliation, audit logging, restartability, and production failure handling—including recovery from a Fabric capacity/Livy session incident.</w:t>
      </w:r>
    </w:p>
    <w:p>
      <w:pPr>
        <w:pStyle w:val="Heading1"/>
        <w:keepNext/>
        <w:spacing w:after="120" w:before="320"/>
      </w:pPr>
      <w:r>
        <w:t xml:space="preserve">2. Architecture Choices</w:t>
      </w:r>
    </w:p>
    <w:p>
      <w:pPr>
        <w:pStyle w:val="Heading2"/>
        <w:keepNext/>
        <w:spacing w:after="120" w:before="220"/>
      </w:pPr>
      <w:r>
        <w:t xml:space="preserve">Why did you choose Microsoft Fabric and a Medallion architecture?</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Why did you choose Microsoft Fabric and a Medallion architecture?</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Fabric gave the project an integrated analytics surface: pipelines for orchestration, OneLake and Lakehouse tables for storage, Spark and SQL experiences for transformation and validation, semantic modeling for governed metrics, and Power BI for consumption. That reduced handoffs between products and made lineage easier to understand.</w:t>
      </w:r>
    </w:p>
    <w:p>
      <w:pPr>
        <w:spacing w:after="120" w:before="0" w:line="276"/>
        <w:jc w:val="left"/>
      </w:pPr>
      <w:r>
        <w:rPr>
          <w:rFonts w:ascii="Aptos" w:cs="Aptos" w:eastAsia="Aptos" w:hAnsi="Aptos"/>
          <w:b w:val="false"/>
          <w:bCs w:val="false"/>
          <w:i w:val="false"/>
          <w:iCs w:val="false"/>
          <w:color w:val="263238"/>
          <w:sz w:val="21"/>
          <w:szCs w:val="21"/>
        </w:rPr>
        <w:t xml:space="preserve">Medallion separated concerns. Bronze answered, “What arrived?” Silver answered, “What is clean and conformant?” Gold answered, “What does the business need to analyze?” This boundary is valuable in insurance because claims and payments must be traceable back to source records, but reporting logic should not depend on raw source quirks.</w:t>
      </w:r>
    </w:p>
    <w:p>
      <w:pPr>
        <w:spacing w:after="120" w:before="0" w:line="276"/>
        <w:jc w:val="left"/>
      </w:pPr>
      <w:r>
        <w:rPr>
          <w:rFonts w:ascii="Aptos" w:cs="Aptos" w:eastAsia="Aptos" w:hAnsi="Aptos"/>
          <w:b w:val="false"/>
          <w:bCs w:val="false"/>
          <w:i w:val="false"/>
          <w:iCs w:val="false"/>
          <w:color w:val="263238"/>
          <w:sz w:val="21"/>
          <w:szCs w:val="21"/>
        </w:rPr>
        <w:t xml:space="preserve">The tradeoff is additional storage, pipelines, and governance. For a tiny, stable dataset, a direct load into a warehouse might be simpler. I chose Medallion because the project required replay, incremental change handling, quality quarantine, multiple downstream uses, and production supportability.</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Fabric: one governed platform across ingestion, lake, engineering, semantic model, and reporting.</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Bronze = evidence; Silver = trusted operational truth; Gold = analytical truth.</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Layer boundaries localize changes and failures.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Tradeoff: more components and copies in exchange for control, reuse, and recovery.</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Fabric unified the data and BI lifecycle, while Medallion separated raw evidence, trusted data, and business-ready analytics. I accepted the extra layers because insurance reporting needed auditability, replay, reusable quality controls, and stable downstream contracts.</w:t>
      </w:r>
    </w:p>
    <w:p>
      <w:pPr>
        <w:pStyle w:val="Heading1"/>
        <w:keepNext/>
        <w:spacing w:after="120" w:before="320"/>
      </w:pPr>
      <w:r>
        <w:t xml:space="preserve">3. Capture: Source Ingestion and Bronze</w:t>
      </w:r>
    </w:p>
    <w:p>
      <w:pPr>
        <w:pStyle w:val="Heading2"/>
        <w:keepNext/>
        <w:spacing w:after="120" w:before="220"/>
      </w:pPr>
      <w:r>
        <w:t xml:space="preserve">How did source data enter Bronze, and why preserve it?</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did source data enter Bronze, and why preserve it?</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The source domain contained customers, policies, claims, and payments. Customer and policy data described who was insured and under what coverage; claims recorded loss events and status; payments represented financial settlement activity. The ingestion pipeline landed each entity into Bronze with minimal transformation so the raw business evidence remained available.</w:t>
      </w:r>
    </w:p>
    <w:p>
      <w:pPr>
        <w:spacing w:after="120" w:before="0" w:line="276"/>
        <w:jc w:val="left"/>
      </w:pPr>
      <w:r>
        <w:rPr>
          <w:rFonts w:ascii="Aptos" w:cs="Aptos" w:eastAsia="Aptos" w:hAnsi="Aptos"/>
          <w:b w:val="false"/>
          <w:bCs w:val="false"/>
          <w:i w:val="false"/>
          <w:iCs w:val="false"/>
          <w:color w:val="263238"/>
          <w:sz w:val="21"/>
          <w:szCs w:val="21"/>
        </w:rPr>
        <w:t xml:space="preserve">I added operational metadata such as source name, ingestion timestamp, batch identifier, and source file or extraction context. This allowed every downstream row to be traced to a load. Bronze was append-oriented where appropriate, because overwriting raw history would weaken replay and incident investigation.</w:t>
      </w:r>
    </w:p>
    <w:p>
      <w:pPr>
        <w:spacing w:after="120" w:before="0" w:line="276"/>
        <w:jc w:val="left"/>
      </w:pPr>
      <w:r>
        <w:rPr>
          <w:rFonts w:ascii="Aptos" w:cs="Aptos" w:eastAsia="Aptos" w:hAnsi="Aptos"/>
          <w:b w:val="false"/>
          <w:bCs w:val="false"/>
          <w:i w:val="false"/>
          <w:iCs w:val="false"/>
          <w:color w:val="263238"/>
          <w:sz w:val="21"/>
          <w:szCs w:val="21"/>
        </w:rPr>
        <w:t xml:space="preserve">I validated that files or source extracts existed, schemas were recognizable, and basic counts were captured. Heavy business rules did not belong here: changing source data during capture would blur the distinction between what the source sent and what the platform inferred.</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Entities: customer → policy → claim → payment.</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Land with minimal change; enrich with operational metadata.</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Preserve evidence for replay, lineage, and debugging.</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Perform structural validation, not full business cleansing, at ingestion.</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Bronze stored source-aligned customer, policy, claim, and payment data with ingestion timestamp and batch metadata. Its purpose was traceability and replay, so I kept business transformation out of that layer and captured basic schema and row-count checks only.</w:t>
      </w:r>
    </w:p>
    <w:p>
      <w:pPr>
        <w:pStyle w:val="Heading1"/>
        <w:keepNext/>
        <w:spacing w:after="120" w:before="320"/>
      </w:pPr>
      <w:r>
        <w:t xml:space="preserve">4. Refine: Incremental Processing and Reliability</w:t>
      </w:r>
    </w:p>
    <w:p>
      <w:pPr>
        <w:pStyle w:val="Heading2"/>
        <w:keepNext/>
        <w:spacing w:after="120" w:before="220"/>
      </w:pPr>
      <w:r>
        <w:t xml:space="preserve">How did you implement incremental processing with watermarks and Delta MERGE?</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did you implement incremental processing with watermarks and Delta MERGE?</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For each incrementally loaded entity, the pipeline read the last successfully committed watermark—typically a reliable source modification timestamp or sequence. It then extracted rows newer than the lower bound, using a controlled upper bound captured at the start of the run. That closed interval prevented late changes during the run from falling into an ambiguous gap.</w:t>
      </w:r>
    </w:p>
    <w:p>
      <w:pPr>
        <w:spacing w:after="120" w:before="0" w:line="276"/>
        <w:jc w:val="left"/>
      </w:pPr>
      <w:r>
        <w:rPr>
          <w:rFonts w:ascii="Aptos" w:cs="Aptos" w:eastAsia="Aptos" w:hAnsi="Aptos"/>
          <w:b w:val="false"/>
          <w:bCs w:val="false"/>
          <w:i w:val="false"/>
          <w:iCs w:val="false"/>
          <w:color w:val="263238"/>
          <w:sz w:val="21"/>
          <w:szCs w:val="21"/>
        </w:rPr>
        <w:t xml:space="preserve">After transformations and validation, Delta MERGE matched the business key in the target. Existing rows were updated when source values changed; new keys were inserted. The watermark advanced only after the target write, quality checks, and audit steps succeeded. If the run failed earlier, the previous watermark remained intact and the same interval could be retried.</w:t>
      </w:r>
    </w:p>
    <w:p>
      <w:pPr>
        <w:spacing w:after="120" w:before="0" w:line="276"/>
        <w:jc w:val="left"/>
      </w:pPr>
      <w:r>
        <w:rPr>
          <w:rFonts w:ascii="Aptos" w:cs="Aptos" w:eastAsia="Aptos" w:hAnsi="Aptos"/>
          <w:b w:val="false"/>
          <w:bCs w:val="false"/>
          <w:i w:val="false"/>
          <w:iCs w:val="false"/>
          <w:color w:val="263238"/>
          <w:sz w:val="21"/>
          <w:szCs w:val="21"/>
        </w:rPr>
        <w:t xml:space="preserve">Timestamp watermarks are simple but can miss equal timestamps, clock anomalies, or late-arriving records. Safer options include a composite timestamp-plus-key watermark, overlap windows followed by deduplication, change data capture, or source sequence numbers. The correct choice depends on what the source guarantees.</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Read last committed lower bound; capture a fixed upper bound.</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Extract the bounded change set and transform it.</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MERGE by stable business key: matched update, not matched insert.</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Commit audit and watermark only after successful completion.</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Address late data with overlap, CDC, or composite watermarks.</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processed a fixed watermark interval and used Delta MERGE to upsert by business key. The watermark moved only after a successful commit, so failures could be retried safely. Where timestamps were not perfectly reliable, I would use an overlap window, composite key, or CDC.</w:t>
      </w:r>
    </w:p>
    <w:p>
      <w:pPr>
        <w:pStyle w:val="Heading2"/>
        <w:keepNext/>
        <w:spacing w:after="120" w:before="220"/>
      </w:pPr>
      <w:r>
        <w:t xml:space="preserve">How did you handle duplicates, idempotency, and restartability?</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did you handle duplicates, idempotency, and restartability?</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Deduplication happened at the business grain, not by blindly removing identical rows. Within a batch, I partitioned by the entity business key and retained the most authoritative record using modification time, ingestion time, or a source sequence. I also checked whether multiple “latest” records represented a true source conflict and routed unresolved cases for investigation.</w:t>
      </w:r>
    </w:p>
    <w:p>
      <w:pPr>
        <w:spacing w:after="120" w:before="0" w:line="276"/>
        <w:jc w:val="left"/>
      </w:pPr>
      <w:r>
        <w:rPr>
          <w:rFonts w:ascii="Aptos" w:cs="Aptos" w:eastAsia="Aptos" w:hAnsi="Aptos"/>
          <w:b w:val="false"/>
          <w:bCs w:val="false"/>
          <w:i w:val="false"/>
          <w:iCs w:val="false"/>
          <w:color w:val="263238"/>
          <w:sz w:val="21"/>
          <w:szCs w:val="21"/>
        </w:rPr>
        <w:t xml:space="preserve">Idempotency meant the same batch could run again without doubling facts or corrupting dimensions. Stable business keys, deterministic transformations, Delta MERGE, batch-aware audit records, and a watermark that advanced only on success made that possible. Restartability meant a failed activity could resume from a known checkpoint or rerun the bounded interval rather than rebuilding the entire platform.</w:t>
      </w:r>
    </w:p>
    <w:p>
      <w:pPr>
        <w:spacing w:after="120" w:before="0" w:line="276"/>
        <w:jc w:val="left"/>
      </w:pPr>
      <w:r>
        <w:rPr>
          <w:rFonts w:ascii="Aptos" w:cs="Aptos" w:eastAsia="Aptos" w:hAnsi="Aptos"/>
          <w:b w:val="false"/>
          <w:bCs w:val="false"/>
          <w:i w:val="false"/>
          <w:iCs w:val="false"/>
          <w:color w:val="263238"/>
          <w:sz w:val="21"/>
          <w:szCs w:val="21"/>
        </w:rPr>
        <w:t xml:space="preserve">Append-only writes are cheaper and sometimes appropriate for immutable events, but without a uniqueness strategy they create duplicates on retry. MERGE costs more because it matches target records; the project used it where updates and safe replay mattered, while preserving append semantics where events were truly immutable.</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Deduplicate at business key + grain; choose the winner deterministically.</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Idempotency = same input, same final state.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Restartability = recover from a committed checkpoint or rerun a bounded batch.</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MERGE for mutable entities; append only for genuinely immutable events.</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deduplicated by business key using deterministic recency rules and upserted through Delta MERGE. Batch metadata and success-only watermark updates made retries idempotent. That allowed a failed interval to be rerun without duplicate records.</w:t>
      </w:r>
    </w:p>
    <w:p>
      <w:pPr>
        <w:pStyle w:val="Heading1"/>
        <w:keepNext/>
        <w:spacing w:after="120" w:before="320"/>
      </w:pPr>
      <w:r>
        <w:t xml:space="preserve">5. Validate: Silver Transformations and Data Quality</w:t>
      </w:r>
    </w:p>
    <w:p>
      <w:pPr>
        <w:pStyle w:val="Heading2"/>
        <w:keepNext/>
        <w:spacing w:after="120" w:before="220"/>
      </w:pPr>
      <w:r>
        <w:t xml:space="preserve">What transformations did you perform in Silver?</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What transformations did you perform in Silver?</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Silver converted source-shaped data into consistent, reusable domain tables. I standardized column names, data types, date formats, null handling, state and status codes, monetary precision, and key formats. I applied domain rules such as valid policy periods, recognized claim statuses, nonnegative payment logic, and consistent customer identifiers.</w:t>
      </w:r>
    </w:p>
    <w:p>
      <w:pPr>
        <w:spacing w:after="120" w:before="0" w:line="276"/>
        <w:jc w:val="left"/>
      </w:pPr>
      <w:r>
        <w:rPr>
          <w:rFonts w:ascii="Aptos" w:cs="Aptos" w:eastAsia="Aptos" w:hAnsi="Aptos"/>
          <w:b w:val="false"/>
          <w:bCs w:val="false"/>
          <w:i w:val="false"/>
          <w:iCs w:val="false"/>
          <w:color w:val="263238"/>
          <w:sz w:val="21"/>
          <w:szCs w:val="21"/>
        </w:rPr>
        <w:t xml:space="preserve">I kept transformations deterministic and separated technical normalization from business interpretation. For example, trimming a state code and casting a date are standardization; deciding how to classify a claim as outstanding is a governed business rule that should be documented and reused by the semantic layer.</w:t>
      </w:r>
    </w:p>
    <w:p>
      <w:pPr>
        <w:spacing w:after="120" w:before="0" w:line="276"/>
        <w:jc w:val="left"/>
      </w:pPr>
      <w:r>
        <w:rPr>
          <w:rFonts w:ascii="Aptos" w:cs="Aptos" w:eastAsia="Aptos" w:hAnsi="Aptos"/>
          <w:b w:val="false"/>
          <w:bCs w:val="false"/>
          <w:i w:val="false"/>
          <w:iCs w:val="false"/>
          <w:color w:val="263238"/>
          <w:sz w:val="21"/>
          <w:szCs w:val="21"/>
        </w:rPr>
        <w:t xml:space="preserve">Schema evolution was controlled rather than silently accepted. Additive columns could be evaluated and introduced safely; missing or incompatible required columns caused a clear failure or quarantine. This protected Gold from unexpected source drift.</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Standardize names, types, dates, codes, keys, nulls, and numeric precision.</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Apply documented domain rules; preserve source traceability.</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Separate technical cleansing from governed KPI definitions.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Treat schema drift explicitly: accept, quarantine, or fail based on impact.</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Silver standardized schemas and domain values, resolved types and keys, and applied documented insurance rules. I treated schema drift deliberately so unexpected source changes could not silently break Gold or alter business meaning.</w:t>
      </w:r>
    </w:p>
    <w:p>
      <w:pPr>
        <w:pStyle w:val="Heading2"/>
        <w:keepNext/>
        <w:spacing w:after="120" w:before="220"/>
      </w:pPr>
      <w:r>
        <w:t xml:space="preserve">How did the data-quality stage and reject process work?</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did the data-quality stage and reject process work?</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Data quality was a distinct stage between Silver processing and Gold promotion. Checks covered completeness of required keys and dates, uniqueness at the intended grain, valid domains and ranges, cross-field business rules, and referential integrity—for example, a policy should reference a known customer, a claim should reference a valid policy, and a payment should reference the appropriate claim.</w:t>
      </w:r>
    </w:p>
    <w:p>
      <w:pPr>
        <w:spacing w:after="120" w:before="0" w:line="276"/>
        <w:jc w:val="left"/>
      </w:pPr>
      <w:r>
        <w:rPr>
          <w:rFonts w:ascii="Aptos" w:cs="Aptos" w:eastAsia="Aptos" w:hAnsi="Aptos"/>
          <w:b w:val="false"/>
          <w:bCs w:val="false"/>
          <w:i w:val="false"/>
          <w:iCs w:val="false"/>
          <w:color w:val="263238"/>
          <w:sz w:val="21"/>
          <w:szCs w:val="21"/>
        </w:rPr>
        <w:t xml:space="preserve">Invalid rows were written to reject tables with the original payload, batch ID, rule ID, failure reason, detection time, and remediation status. That made the issue actionable and allowed corrected records to be replayed. I did not simply drop bad rows, because silent removal produces unexplained financial discrepancies.</w:t>
      </w:r>
    </w:p>
    <w:p>
      <w:pPr>
        <w:spacing w:after="120" w:before="0" w:line="276"/>
        <w:jc w:val="left"/>
      </w:pPr>
      <w:r>
        <w:rPr>
          <w:rFonts w:ascii="Aptos" w:cs="Aptos" w:eastAsia="Aptos" w:hAnsi="Aptos"/>
          <w:b w:val="false"/>
          <w:bCs w:val="false"/>
          <w:i w:val="false"/>
          <w:iCs w:val="false"/>
          <w:color w:val="263238"/>
          <w:sz w:val="21"/>
          <w:szCs w:val="21"/>
        </w:rPr>
        <w:t xml:space="preserve">Not every defect has the same severity. A critical broken key or monetary rule stopped promotion; a noncritical descriptive attribute could be quarantined or accepted with a warning. Thresholds made this operational: one bad record in a million might be isolated, while a sudden 20% failure rate suggested a systemic source or schema problem and failed the batch.</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Completeness → uniqueness → validity → business rules → referential integrity.</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Reject with payload + rule + reason + batch + time + remediation state.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Critical failure blocks Gold; tolerable defects use governed thresholds.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Corrected rejects re-enter through a controlled replay path.</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used a separate quality gate for required fields, duplicates, valid values, business rules, and referential integrity. Invalid records went to auditable reject tables with reason codes. Critical or systemic failures blocked Gold; isolated defects could be quarantined under an agreed threshold.</w:t>
      </w:r>
    </w:p>
    <w:p>
      <w:pPr>
        <w:pStyle w:val="Heading1"/>
        <w:keepNext/>
        <w:spacing w:after="120" w:before="320"/>
      </w:pPr>
      <w:r>
        <w:t xml:space="preserve">6. Model: Gold Star Schema</w:t>
      </w:r>
    </w:p>
    <w:p>
      <w:pPr>
        <w:pStyle w:val="Heading2"/>
        <w:keepNext/>
        <w:spacing w:after="120" w:before="220"/>
      </w:pPr>
      <w:r>
        <w:t xml:space="preserve">Describe the Gold dimensional model and its grain.</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Describe the Gold dimensional model and its grain.</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Gold translated the insurance domain into a star schema optimized for clear analysis. dim_customer held customer attributes such as geography; dim_policy described policy, product, coverage, status, and effective dates; dim_date provided calendar and fiscal attributes. fact_claim stored claim-level metrics at the declared claim grain, and fact_payment stored payment transactions at the payment grain.</w:t>
      </w:r>
    </w:p>
    <w:p>
      <w:pPr>
        <w:spacing w:after="120" w:before="0" w:line="276"/>
        <w:jc w:val="left"/>
      </w:pPr>
      <w:r>
        <w:rPr>
          <w:rFonts w:ascii="Aptos" w:cs="Aptos" w:eastAsia="Aptos" w:hAnsi="Aptos"/>
          <w:b w:val="false"/>
          <w:bCs w:val="false"/>
          <w:i w:val="false"/>
          <w:iCs w:val="false"/>
          <w:color w:val="263238"/>
          <w:sz w:val="21"/>
          <w:szCs w:val="21"/>
        </w:rPr>
        <w:t xml:space="preserve">The two fact tables remained separate because a claim can have multiple payments. Joining them directly at detail level would multiply claim values and produce incorrect totals. Instead, both facts connected through conformed dimensions and claim or policy identifiers as appropriate, while DAX measures respected each table’s grain.</w:t>
      </w:r>
    </w:p>
    <w:p>
      <w:pPr>
        <w:spacing w:after="120" w:before="0" w:line="276"/>
        <w:jc w:val="left"/>
      </w:pPr>
      <w:r>
        <w:rPr>
          <w:rFonts w:ascii="Aptos" w:cs="Aptos" w:eastAsia="Aptos" w:hAnsi="Aptos"/>
          <w:b w:val="false"/>
          <w:bCs w:val="false"/>
          <w:i w:val="false"/>
          <w:iCs w:val="false"/>
          <w:color w:val="263238"/>
          <w:sz w:val="21"/>
          <w:szCs w:val="21"/>
        </w:rPr>
        <w:t xml:space="preserve">Surrogate keys insulated analytics from mutable operational identifiers and enabled history strategies. The business keys remained available for traceability. I would choose Type 1 dimensions when only the current attribute matters and Type 2 when reporting must reflect the attribute state at the time of the event.</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Dimensions answer who/what/when; facts hold events and amounts.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Declare grain before choosing keys or measures.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Keep claim and payment facts separate to avoid fan-out.</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Use conformed dimensions and surrogate keys; choose SCD policy by reporting need.</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Gold used dim_customer, dim_policy, dim_date, fact_claim, and fact_payment. Claims and payments stayed at separate grains to avoid double counting, while conformed dimensions enabled consistent slicing. Surrogate keys supported stability and potential history tracking.</w:t>
      </w:r>
    </w:p>
    <w:p>
      <w:pPr>
        <w:pStyle w:val="Heading2"/>
        <w:keepNext/>
        <w:spacing w:after="120" w:before="220"/>
      </w:pPr>
      <w:r>
        <w:t xml:space="preserve">How did you handle unknown members, reconciliation, and audit?</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did you handle unknown members, reconciliation, and audit?</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Each dimension contained an unknown member with a reserved surrogate key, commonly -1. If a valid fact arrived before its dimension record, the fact could load using that key instead of being lost or causing the entire batch to fail. The record remained measurable as “Unknown,” and a later repair process could update the foreign key when the dimension arrived.</w:t>
      </w:r>
    </w:p>
    <w:p>
      <w:pPr>
        <w:spacing w:after="120" w:before="0" w:line="276"/>
        <w:jc w:val="left"/>
      </w:pPr>
      <w:r>
        <w:rPr>
          <w:rFonts w:ascii="Aptos" w:cs="Aptos" w:eastAsia="Aptos" w:hAnsi="Aptos"/>
          <w:b w:val="false"/>
          <w:bCs w:val="false"/>
          <w:i w:val="false"/>
          <w:iCs w:val="false"/>
          <w:color w:val="263238"/>
          <w:sz w:val="21"/>
          <w:szCs w:val="21"/>
        </w:rPr>
        <w:t xml:space="preserve">Unknown is not the same as invalid. A late but structurally valid policy may use the unknown member temporarily; a malformed or impossible policy key belongs in rejects. Monitoring the unknown-member rate prevents the safety mechanism from hiding chronic source problems.</w:t>
      </w:r>
    </w:p>
    <w:p>
      <w:pPr>
        <w:spacing w:after="120" w:before="0" w:line="276"/>
        <w:jc w:val="left"/>
      </w:pPr>
      <w:r>
        <w:rPr>
          <w:rFonts w:ascii="Aptos" w:cs="Aptos" w:eastAsia="Aptos" w:hAnsi="Aptos"/>
          <w:b w:val="false"/>
          <w:bCs w:val="false"/>
          <w:i w:val="false"/>
          <w:iCs w:val="false"/>
          <w:color w:val="263238"/>
          <w:sz w:val="21"/>
          <w:szCs w:val="21"/>
        </w:rPr>
        <w:t xml:space="preserve">Reconciliation compared source, Bronze, Silver, rejects, and Gold using row counts, distinct business keys, control totals such as claim and payment amounts, and inserted/updated/rejected counts. Audit tables recorded batch ID, pipeline and activity, start/end time, watermark interval, status, counts, error details, and environment. The accounting identity was explicit: received = accepted + rejected, adjusted for documented deduplication or business exclusions.</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Unknown member protects fact continuity for late dimensions.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Invalid data is rejected; unknown data is measured and repaired.</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Reconcile counts, keys, and financial totals across every boundary.</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Audit who/what/when/where: batch, interval, counts, status, error, environment.</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used a reserved unknown member for valid late-arriving dimension references, then repaired those keys later. I reconciled row counts, distinct keys, rejects, and financial totals across layers, and logged the full batch and watermark context for auditability.</w:t>
      </w:r>
    </w:p>
    <w:p>
      <w:pPr>
        <w:pStyle w:val="Heading1"/>
        <w:keepNext/>
        <w:spacing w:after="120" w:before="320"/>
      </w:pPr>
      <w:r>
        <w:t xml:space="preserve">7. Operate: Orchestration and Production Controls</w:t>
      </w:r>
    </w:p>
    <w:p>
      <w:pPr>
        <w:pStyle w:val="Heading2"/>
        <w:keepNext/>
        <w:spacing w:after="120" w:before="220"/>
      </w:pPr>
      <w:r>
        <w:t xml:space="preserve">How was the end-to-end pipeline orchestrated?</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was the end-to-end pipeline orchestrated?</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The master flow was 01_Load_Bronze → 02_Bronze_To_Silver → 03_Silver_Data_Quality → 04_Silver_To_Gold. Each stage had a clear contract and only released the next stage after its success conditions were met. This prevented a partially loaded or low-quality batch from contaminating Gold.</w:t>
      </w:r>
    </w:p>
    <w:p>
      <w:pPr>
        <w:spacing w:after="120" w:before="0" w:line="276"/>
        <w:jc w:val="left"/>
      </w:pPr>
      <w:r>
        <w:rPr>
          <w:rFonts w:ascii="Aptos" w:cs="Aptos" w:eastAsia="Aptos" w:hAnsi="Aptos"/>
          <w:b w:val="false"/>
          <w:bCs w:val="false"/>
          <w:i w:val="false"/>
          <w:iCs w:val="false"/>
          <w:color w:val="263238"/>
          <w:sz w:val="21"/>
          <w:szCs w:val="21"/>
        </w:rPr>
        <w:t xml:space="preserve">The parameters were p_run_mode=INCREMENTAL, p_batch_id=AUTO, and p_environment=DEV. INCREMENTAL selected watermark-driven processing; a controlled FULL mode could support initial loads or approved recovery. AUTO generated a unique, traceable batch ID. The environment parameter selected environment-specific configuration without embedding DEV values in transformation logic.</w:t>
      </w:r>
    </w:p>
    <w:p>
      <w:pPr>
        <w:spacing w:after="120" w:before="0" w:line="276"/>
        <w:jc w:val="left"/>
      </w:pPr>
      <w:r>
        <w:rPr>
          <w:rFonts w:ascii="Aptos" w:cs="Aptos" w:eastAsia="Aptos" w:hAnsi="Aptos"/>
          <w:b w:val="false"/>
          <w:bCs w:val="false"/>
          <w:i w:val="false"/>
          <w:iCs w:val="false"/>
          <w:color w:val="263238"/>
          <w:sz w:val="21"/>
          <w:szCs w:val="21"/>
        </w:rPr>
        <w:t xml:space="preserve">I used dependency conditions, timeouts, bounded retries for transient failures, centralized logging, and explicit failure paths. Retries were appropriate for temporary service or network issues, not deterministic data-quality or code failures. Notifications contained the failed stage, batch, error category, and recovery guidance.</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Bronze → Silver → DQ gate → Gold; downstream starts only on success.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p_run_mode=INCREMENTAL; p_batch_id=AUTO; p_environment=DEV.</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Configuration is environment-aware; business logic stays portable.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Retry transient faults; fail fast on deterministic faults; log everything needed to recover.</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A parameterized master pipeline ran 01_Load_Bronze through 04_Silver_To_Gold with a quality gate before promotion. Incremental mode used watermarks, batch IDs were generated automatically, and environment configuration was externalized. Dependencies, bounded retries, timeouts, and centralized audit logs made failures visible and recoverable.</w:t>
      </w:r>
    </w:p>
    <w:p>
      <w:pPr>
        <w:pStyle w:val="Heading2"/>
        <w:keepNext/>
        <w:spacing w:after="120" w:before="220"/>
      </w:pPr>
      <w:r>
        <w:t xml:space="preserve">How did you monitor the platform and decide whether it was production-ready?</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did you monitor the platform and decide whether it was production-ready?</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I monitored both engineering health and business health. Engineering signals included pipeline duration, activity status, Spark session startup, capacity throttling, retry count, freshness, and Delta operation metrics. Business signals included source-to-target counts, reject percentage, unknown-member rate, duplicate rate, claim and payment control totals, and freshness against the reporting service-level objective.</w:t>
      </w:r>
    </w:p>
    <w:p>
      <w:pPr>
        <w:spacing w:after="120" w:before="0" w:line="276"/>
        <w:jc w:val="left"/>
      </w:pPr>
      <w:r>
        <w:rPr>
          <w:rFonts w:ascii="Aptos" w:cs="Aptos" w:eastAsia="Aptos" w:hAnsi="Aptos"/>
          <w:b w:val="false"/>
          <w:bCs w:val="false"/>
          <w:i w:val="false"/>
          <w:iCs w:val="false"/>
          <w:color w:val="263238"/>
          <w:sz w:val="21"/>
          <w:szCs w:val="21"/>
        </w:rPr>
        <w:t xml:space="preserve">A successful activity is not enough if the data is incomplete. I therefore required reconciliation and quality checks to complete before declaring the batch successful. Alerts were severity-based and actionable: they identified the environment, batch, failing entity, watermark window, observed threshold, and runbook step.</w:t>
      </w:r>
    </w:p>
    <w:p>
      <w:pPr>
        <w:spacing w:after="120" w:before="0" w:line="276"/>
        <w:jc w:val="left"/>
      </w:pPr>
      <w:r>
        <w:rPr>
          <w:rFonts w:ascii="Aptos" w:cs="Aptos" w:eastAsia="Aptos" w:hAnsi="Aptos"/>
          <w:b w:val="false"/>
          <w:bCs w:val="false"/>
          <w:i w:val="false"/>
          <w:iCs w:val="false"/>
          <w:color w:val="263238"/>
          <w:sz w:val="21"/>
          <w:szCs w:val="21"/>
        </w:rPr>
        <w:t xml:space="preserve">Production readiness also included least-privilege access, secrets outside code, deployment separation, parameterized configuration, source control, tested recovery, ownership, retention, cost/capacity monitoring, semantic-model validation, and documented lineage. A system is production-ready when it can be operated by someone other than its author.</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Technical health + data health + business freshness.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Success requires reconciliation, not merely green pipeline activities.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Alerts must identify scope, impact, context, and next action.</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Readiness = security, deployment, recovery, ownership, observability, and documentation.</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monitored pipeline and capacity health together with data freshness, rejects, unknowns, counts, and financial totals. A batch was successful only after reconciliation. Production readiness also required least privilege, externalized configuration, tested recovery, controlled deployment, runbooks, ownership, and capacity monitoring.</w:t>
      </w:r>
    </w:p>
    <w:p>
      <w:pPr>
        <w:pStyle w:val="Heading1"/>
        <w:keepNext/>
        <w:spacing w:after="120" w:before="320"/>
      </w:pPr>
      <w:r>
        <w:t xml:space="preserve">8. Real Failure Story: Capacity and Livy</w:t>
      </w:r>
    </w:p>
    <w:p>
      <w:pPr>
        <w:pStyle w:val="Heading2"/>
        <w:keepNext/>
        <w:spacing w:after="120" w:before="220"/>
      </w:pPr>
      <w:r>
        <w:t xml:space="preserve">Tell me about a production failure and how you recovered.</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Tell me about a production failure and how you recovered.</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A Spark-based activity failed before the transformation logic began. The service returned HTTP 430 TooManyRequestsForCapacity, and the Livy session could not be created. The timing and error category were important: there was no evidence that a specific transformation statement had failed; the compute session itself was unavailable because capacity was constrained.</w:t>
      </w:r>
    </w:p>
    <w:p>
      <w:pPr>
        <w:spacing w:after="120" w:before="0" w:line="276"/>
        <w:jc w:val="left"/>
      </w:pPr>
      <w:r>
        <w:rPr>
          <w:rFonts w:ascii="Aptos" w:cs="Aptos" w:eastAsia="Aptos" w:hAnsi="Aptos"/>
          <w:b w:val="false"/>
          <w:bCs w:val="false"/>
          <w:i w:val="false"/>
          <w:iCs w:val="false"/>
          <w:color w:val="263238"/>
          <w:sz w:val="21"/>
          <w:szCs w:val="21"/>
        </w:rPr>
        <w:t xml:space="preserve">I separated platform symptoms from code symptoms. I checked whether other workloads were consuming the Fabric capacity, reviewed concurrent Spark sessions and pipeline runs, examined capacity and activity history, and confirmed that the failure occurred during session startup. I avoided repeatedly hammering the service with immediate retries, because that can intensify contention.</w:t>
      </w:r>
    </w:p>
    <w:p>
      <w:pPr>
        <w:spacing w:after="120" w:before="0" w:line="276"/>
        <w:jc w:val="left"/>
      </w:pPr>
      <w:r>
        <w:rPr>
          <w:rFonts w:ascii="Aptos" w:cs="Aptos" w:eastAsia="Aptos" w:hAnsi="Aptos"/>
          <w:b w:val="false"/>
          <w:bCs w:val="false"/>
          <w:i w:val="false"/>
          <w:iCs w:val="false"/>
          <w:color w:val="263238"/>
          <w:sz w:val="21"/>
          <w:szCs w:val="21"/>
        </w:rPr>
        <w:t xml:space="preserve">Recovery was to allow capacity to clear or reschedule the workload, then rerun the affected batch. Since the watermark had not advanced and the target writes were idempotent, the retry processed the same bounded interval safely. For prevention, I would stagger heavy jobs, cap concurrency, use exponential backoff with jitter, right-size or autoscale capacity where available, optimize Spark work, and alert on sustained throttling.</w:t>
      </w:r>
    </w:p>
    <w:p>
      <w:pPr>
        <w:spacing w:after="120" w:before="0" w:line="276"/>
        <w:jc w:val="left"/>
      </w:pPr>
      <w:r>
        <w:rPr>
          <w:rFonts w:ascii="Aptos" w:cs="Aptos" w:eastAsia="Aptos" w:hAnsi="Aptos"/>
          <w:b w:val="false"/>
          <w:bCs w:val="false"/>
          <w:i w:val="false"/>
          <w:iCs w:val="false"/>
          <w:color w:val="263238"/>
          <w:sz w:val="21"/>
          <w:szCs w:val="21"/>
        </w:rPr>
        <w:t xml:space="preserve">The architectural lesson was that a data pipeline can fail even when its code is correct. Production design must account for shared-capacity behavior, and the recovery story depends on idempotency and committed checkpoints.</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Symptom: HTTP 430 + Livy session creation failure.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Diagnosis: capacity/platform failure occurred before user transformation code.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Contain: stop retry storms; inspect concurrent workload and capacity metrics.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Recover: wait/reschedule/right-size, then rerun the unchanged batch interval.</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Prevent: concurrency controls, backoff, workload staggering, optimization, and alerts.</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A Spark activity returned HTTP 430 TooManyRequestsForCapacity while Livy was starting, so I identified it as capacity contention rather than transformation logic. I allowed or created capacity headroom and reran the same batch. Because the watermark had not committed and MERGE was idempotent, recovery was safe. I then added concurrency, backoff, scheduling, and capacity-monitoring controls.</w:t>
      </w:r>
    </w:p>
    <w:p>
      <w:pPr>
        <w:pStyle w:val="Heading1"/>
        <w:keepNext/>
        <w:spacing w:after="120" w:before="320"/>
      </w:pPr>
      <w:r>
        <w:t xml:space="preserve">9. Serve: Direct Lake Semantic Model and DAX</w:t>
      </w:r>
    </w:p>
    <w:p>
      <w:pPr>
        <w:pStyle w:val="Heading2"/>
        <w:keepNext/>
        <w:spacing w:after="120" w:before="220"/>
      </w:pPr>
      <w:r>
        <w:t xml:space="preserve">Why Direct Lake, and how did you design the relationships?</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Why Direct Lake, and how did you design the relationships?</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Direct Lake allowed the semantic model to query Fabric-managed Delta tables in OneLake without maintaining a separate imported copy for every refresh. It combined near-current access with Power BI semantic governance and in-memory-style query behavior when the model could use Direct Lake effectively.</w:t>
      </w:r>
    </w:p>
    <w:p>
      <w:pPr>
        <w:spacing w:after="120" w:before="0" w:line="276"/>
        <w:jc w:val="left"/>
      </w:pPr>
      <w:r>
        <w:rPr>
          <w:rFonts w:ascii="Aptos" w:cs="Aptos" w:eastAsia="Aptos" w:hAnsi="Aptos"/>
          <w:b w:val="false"/>
          <w:bCs w:val="false"/>
          <w:i w:val="false"/>
          <w:iCs w:val="false"/>
          <w:color w:val="263238"/>
          <w:sz w:val="21"/>
          <w:szCs w:val="21"/>
        </w:rPr>
        <w:t xml:space="preserve">Relationships were one-to-many from dimension keys to fact foreign keys and single-direction from dimensions to facts. That made filter propagation predictable and reduced ambiguity. I avoided indiscriminate bidirectional filtering because it can create multiple filter paths, surprising totals, and slower evaluation.</w:t>
      </w:r>
    </w:p>
    <w:p>
      <w:pPr>
        <w:spacing w:after="120" w:before="0" w:line="276"/>
        <w:jc w:val="left"/>
      </w:pPr>
      <w:r>
        <w:rPr>
          <w:rFonts w:ascii="Aptos" w:cs="Aptos" w:eastAsia="Aptos" w:hAnsi="Aptos"/>
          <w:b w:val="false"/>
          <w:bCs w:val="false"/>
          <w:i w:val="false"/>
          <w:iCs w:val="false"/>
          <w:color w:val="263238"/>
          <w:sz w:val="21"/>
          <w:szCs w:val="21"/>
        </w:rPr>
        <w:t xml:space="preserve">Direct Lake is not automatically the best choice for every workload. Import can be excellent for smaller, highly curated models with predictable refresh windows; DirectQuery may be required for certain real-time or source-governed scenarios but carries source-query latency. Direct Lake was appropriate because Gold already lived in Fabric, data volume and freshness mattered, and the star schema supported efficient filtering.</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Direct Lake reads Gold Delta data without a separate import copy.</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Dimension 1 → * fact; filters travel one way into facts.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Avoid ambiguous bidirectional paths; use explicit DAX only when needed.</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Choose Direct Lake vs Import vs DirectQuery based on location, size, freshness, and latency.</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used Direct Lake because the curated Gold tables already lived in Fabric and the model needed fresh, governed analytics without duplicating a full import. Relationships were one-to-many and single-direction from dimensions to facts, which kept filter behavior clear and efficient.</w:t>
      </w:r>
    </w:p>
    <w:p>
      <w:pPr>
        <w:pStyle w:val="Heading2"/>
        <w:keepNext/>
        <w:spacing w:after="120" w:before="220"/>
      </w:pPr>
      <w:r>
        <w:t xml:space="preserve">Which DAX measures did you build, and how did you protect their meaning?</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Which DAX measures did you build, and how did you protect their meaning?</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I created base measures first, then derived measures. Typical bases were total claim amount, claim count, approved claim count, total payment amount, and distinct policies or customers. Outstanding claim amount was defined from an agreed business rule, such as claim amount less eligible paid amount, with status and reversal treatment documented. Approval rate divided approved claims by eligible claims, and paid-to-claim ratio divided payments by claim amount using DIVIDE to handle zero denominators.</w:t>
      </w:r>
    </w:p>
    <w:p>
      <w:pPr>
        <w:spacing w:after="120" w:before="0" w:line="276"/>
        <w:jc w:val="left"/>
      </w:pPr>
      <w:r>
        <w:rPr>
          <w:rFonts w:ascii="Aptos" w:cs="Aptos" w:eastAsia="Aptos" w:hAnsi="Aptos"/>
          <w:b w:val="false"/>
          <w:bCs w:val="false"/>
          <w:i w:val="false"/>
          <w:iCs w:val="false"/>
          <w:color w:val="263238"/>
          <w:sz w:val="21"/>
          <w:szCs w:val="21"/>
        </w:rPr>
        <w:t xml:space="preserve">Time intelligence used dim_date as the marked, contiguous date table. Claim Amount YTD accumulated the current year through the selected date; Claim Amount PY shifted the date context to the prior year; YoY Change and YoY % compared current and prior-year values. The business had to choose which date role—loss date, reported date, approval date, or payment date—each measure used.</w:t>
      </w:r>
    </w:p>
    <w:p>
      <w:pPr>
        <w:spacing w:after="120" w:before="0" w:line="276"/>
        <w:jc w:val="left"/>
      </w:pPr>
      <w:r>
        <w:rPr>
          <w:rFonts w:ascii="Aptos" w:cs="Aptos" w:eastAsia="Aptos" w:hAnsi="Aptos"/>
          <w:b w:val="false"/>
          <w:bCs w:val="false"/>
          <w:i w:val="false"/>
          <w:iCs w:val="false"/>
          <w:color w:val="263238"/>
          <w:sz w:val="21"/>
          <w:szCs w:val="21"/>
        </w:rPr>
        <w:t xml:space="preserve">I validated measures against known control totals and edge cases: no claims, partial payments, multiple payments per claim, rejected or reopened claims, payment reversals, late-arriving facts, and incomplete periods. Display formatting and measure descriptions were part of governance, not decoration.</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Base measures → derived ratios → time intelligence.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Claims: amount, count, approved count, outstanding.</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Payments: paid amount and paid-to-claim ratio.</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Time: YTD → PY → YoY absolute and percentage.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Document grain, eligible population, date role, status logic, and edge cases.</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built validated base measures for claims and payments, then derived outstanding amount, approval rate, paid-to-claim ratio, YTD, prior year, and YoY. Each measure documented its grain, eligible statuses, date role, and denominator, and I tested it against financial control totals and edge cases.</w:t>
      </w:r>
    </w:p>
    <w:p>
      <w:pPr>
        <w:pStyle w:val="Heading1"/>
        <w:keepNext/>
        <w:spacing w:after="120" w:before="320"/>
      </w:pPr>
      <w:r>
        <w:t xml:space="preserve">10. Communicate: Four Power BI Pages</w:t>
      </w:r>
    </w:p>
    <w:p>
      <w:pPr>
        <w:pStyle w:val="Heading2"/>
        <w:keepNext/>
        <w:spacing w:after="120" w:before="220"/>
      </w:pPr>
      <w:r>
        <w:t xml:space="preserve">How did you organize the Power BI report?</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did you organize the Power BI report?</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The report followed the questions different users ask. Executive Overview summarized claim amount, payment amount, outstanding exposure, approval rate, paid-to-claim ratio, policy count, trends, and priority exceptions. It answered, “Are we healthy, and where should I look next?”</w:t>
      </w:r>
    </w:p>
    <w:p>
      <w:pPr>
        <w:spacing w:after="120" w:before="0" w:line="276"/>
        <w:jc w:val="left"/>
      </w:pPr>
      <w:r>
        <w:rPr>
          <w:rFonts w:ascii="Aptos" w:cs="Aptos" w:eastAsia="Aptos" w:hAnsi="Aptos"/>
          <w:b w:val="false"/>
          <w:bCs w:val="false"/>
          <w:i w:val="false"/>
          <w:iCs w:val="false"/>
          <w:color w:val="263238"/>
          <w:sz w:val="21"/>
          <w:szCs w:val="21"/>
        </w:rPr>
        <w:t xml:space="preserve">Claims Analysis explored frequency, severity, status, geography, product, and time trends. Payments Analysis focused on settlement velocity, paid amounts, outstanding balances, payment timing, and potentially reversals. Customer &amp; Policy Analysis connected customer geography and segments with policy mix, coverage, status, and claim behavior.</w:t>
      </w:r>
    </w:p>
    <w:p>
      <w:pPr>
        <w:spacing w:after="120" w:before="0" w:line="276"/>
        <w:jc w:val="left"/>
      </w:pPr>
      <w:r>
        <w:rPr>
          <w:rFonts w:ascii="Aptos" w:cs="Aptos" w:eastAsia="Aptos" w:hAnsi="Aptos"/>
          <w:b w:val="false"/>
          <w:bCs w:val="false"/>
          <w:i w:val="false"/>
          <w:iCs w:val="false"/>
          <w:color w:val="263238"/>
          <w:sz w:val="21"/>
          <w:szCs w:val="21"/>
        </w:rPr>
        <w:t xml:space="preserve">I used consistent slicers and metric definitions, meaningful drill paths, concise tooltips, and visual interactions that supported investigation. I avoided placing every measure on one page. The design tradeoff favored a clear decision path over maximum visual density.</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Executive Overview = health and attention.</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Claims Analysis = frequency, severity, status, trend, location.</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Payments Analysis = settlement, timing, paid vs outstanding.</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Customer &amp; Policy Analysis = portfolio composition and behavior.</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Consistent filters and definitions; progressive detail rather than clutter.</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organized four pages around user decisions: Executive Overview for overall health, Claims Analysis for loss patterns, Payments Analysis for settlement performance, and Customer &amp; Policy Analysis for portfolio context. Consistent slicers, definitions, and drill paths made the report feel like one guided analysis.</w:t>
      </w:r>
    </w:p>
    <w:p>
      <w:pPr>
        <w:pStyle w:val="Heading1"/>
        <w:keepNext/>
        <w:spacing w:after="120" w:before="320"/>
      </w:pPr>
      <w:r>
        <w:t xml:space="preserve">11. Secure: Row-Level Security</w:t>
      </w:r>
    </w:p>
    <w:p>
      <w:pPr>
        <w:pStyle w:val="Heading2"/>
        <w:keepNext/>
        <w:spacing w:after="120" w:before="220"/>
      </w:pPr>
      <w:r>
        <w:t xml:space="preserve">How did RLS work, and how did the filter propagate?</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did RLS work, and how did the filter propagate?</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A simple role example applied dim_customer[state] = "NY". Because the model used one-to-many, single-direction relationships from dimensions to facts, the customer filter propagated through the valid relationship path to the related policies and then to claim and payment analysis. Users assigned to that role saw New York customers and only the related business activity.</w:t>
      </w:r>
    </w:p>
    <w:p>
      <w:pPr>
        <w:spacing w:after="120" w:before="0" w:line="276"/>
        <w:jc w:val="left"/>
      </w:pPr>
      <w:r>
        <w:rPr>
          <w:rFonts w:ascii="Aptos" w:cs="Aptos" w:eastAsia="Aptos" w:hAnsi="Aptos"/>
          <w:b w:val="false"/>
          <w:bCs w:val="false"/>
          <w:i w:val="false"/>
          <w:iCs w:val="false"/>
          <w:color w:val="263238"/>
          <w:sz w:val="21"/>
          <w:szCs w:val="21"/>
        </w:rPr>
        <w:t xml:space="preserve">For production scale, hard-coded state roles are less maintainable. I would use dynamic RLS with a user-access mapping table containing user identity and permitted state or region, then filter based on USERPRINCIPALNAME(). This supports many users and multiple permitted values without creating one role per state.</w:t>
      </w:r>
    </w:p>
    <w:p>
      <w:pPr>
        <w:spacing w:after="120" w:before="0" w:line="276"/>
        <w:jc w:val="left"/>
      </w:pPr>
      <w:r>
        <w:rPr>
          <w:rFonts w:ascii="Aptos" w:cs="Aptos" w:eastAsia="Aptos" w:hAnsi="Aptos"/>
          <w:b w:val="false"/>
          <w:bCs w:val="false"/>
          <w:i w:val="false"/>
          <w:iCs w:val="false"/>
          <w:color w:val="263238"/>
          <w:sz w:val="21"/>
          <w:szCs w:val="21"/>
        </w:rPr>
        <w:t xml:space="preserve">I tested RLS with “view as role” and representative users, checked totals and drill-through, and verified that alternate or inactive relationship paths could not leak data. RLS is a filtering control, not a substitute for workspace permissions, object-level security, or secure source access.</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Example predicate: dim_customer[state] = "NY".</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Dimension filter follows governed relationships into related facts.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Dynamic mapping table scales better than one hard-coded role per geography.</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Test positive access, denied access, totals, drill-through, and alternate paths.</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The example role filtered dim_customer[state] to NY, and single-direction relationships propagated that restriction to related policies, claims, and payments. For production, I would use a user-to-geography mapping table with dynamic RLS and test both allowed and denied scenarios.</w:t>
      </w:r>
    </w:p>
    <w:p>
      <w:pPr>
        <w:pStyle w:val="Heading1"/>
        <w:keepNext/>
        <w:spacing w:after="120" w:before="320"/>
      </w:pPr>
      <w:r>
        <w:t xml:space="preserve">12. Performance and Production Readiness</w:t>
      </w:r>
    </w:p>
    <w:p>
      <w:pPr>
        <w:pStyle w:val="Heading2"/>
        <w:keepNext/>
        <w:spacing w:after="120" w:before="220"/>
      </w:pPr>
      <w:r>
        <w:t xml:space="preserve">How did you optimize performance across the platform?</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did you optimize performance across the platform?</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I optimized the largest avoidable work first. Incremental processing reduced data scanned and transformed. Gold tables used a narrow star schema with correct data types and reusable aggregates. Delta maintenance addressed excessive small files, and table organization followed the platform’s current optimization capabilities and dominant query patterns rather than arbitrary partitioning.</w:t>
      </w:r>
    </w:p>
    <w:p>
      <w:pPr>
        <w:spacing w:after="120" w:before="0" w:line="276"/>
        <w:jc w:val="left"/>
      </w:pPr>
      <w:r>
        <w:rPr>
          <w:rFonts w:ascii="Aptos" w:cs="Aptos" w:eastAsia="Aptos" w:hAnsi="Aptos"/>
          <w:b w:val="false"/>
          <w:bCs w:val="false"/>
          <w:i w:val="false"/>
          <w:iCs w:val="false"/>
          <w:color w:val="263238"/>
          <w:sz w:val="21"/>
          <w:szCs w:val="21"/>
        </w:rPr>
        <w:t xml:space="preserve">In the semantic model, I reduced unnecessary high-cardinality columns, kept relationship paths simple, hid technical keys, used measures instead of calculated columns where appropriate, and tested expensive DAX under realistic filters. Report pages limited unnecessary visuals and interactions.</w:t>
      </w:r>
    </w:p>
    <w:p>
      <w:pPr>
        <w:spacing w:after="120" w:before="0" w:line="276"/>
        <w:jc w:val="left"/>
      </w:pPr>
      <w:r>
        <w:rPr>
          <w:rFonts w:ascii="Aptos" w:cs="Aptos" w:eastAsia="Aptos" w:hAnsi="Aptos"/>
          <w:b w:val="false"/>
          <w:bCs w:val="false"/>
          <w:i w:val="false"/>
          <w:iCs w:val="false"/>
          <w:color w:val="263238"/>
          <w:sz w:val="21"/>
          <w:szCs w:val="21"/>
        </w:rPr>
        <w:t xml:space="preserve">Performance involved tradeoffs. Over-partitioning can create tiny files; pre-aggregation improves speed but adds storage and freshness complexity; higher capacity can mask inefficient design. I measured pipeline duration, file distribution, model query performance, capacity utilization, and end-user latency before choosing a remedy.</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Reduce work: incremental loads, pruning, correct grain, narrow tables.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Keep Delta healthy: manage file sizes and choose organization from query evidence.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Keep model simple: star schema, low ambiguity, efficient DAX.</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Measure before scaling capacity; avoid moving cost instead of fixing cause.</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reduced processing through incremental loads, maintained healthy Delta file sizes, modeled a narrow star schema, and simplified relationships and DAX. I measured pipeline, capacity, and report latency before deciding between optimization, aggregation, scheduling, or additional capacity.</w:t>
      </w:r>
    </w:p>
    <w:p>
      <w:pPr>
        <w:pStyle w:val="Heading1"/>
        <w:keepNext/>
        <w:spacing w:after="120" w:before="320"/>
      </w:pPr>
      <w:r>
        <w:t xml:space="preserve">13. Troubleshooting Scenarios</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How do you troubleshoot when the numbers or platform behavior look wrong?</w:t>
      </w:r>
    </w:p>
    <w:p>
      <w:pPr>
        <w:keepNext/>
        <w:spacing w:after="70" w:before="150"/>
      </w:pPr>
      <w:r>
        <w:rPr>
          <w:rFonts w:ascii="Aptos" w:cs="Aptos" w:eastAsia="Aptos" w:hAnsi="Aptos"/>
          <w:b/>
          <w:bCs/>
          <w:i w:val="false"/>
          <w:iCs w:val="false"/>
          <w:color w:val="1E7A78"/>
          <w:sz w:val="20"/>
          <w:szCs w:val="20"/>
        </w:rPr>
        <w:t xml:space="preserve">Narrative Answer</w:t>
      </w:r>
    </w:p>
    <w:p>
      <w:pPr>
        <w:spacing w:after="120" w:before="0" w:line="276"/>
        <w:jc w:val="left"/>
      </w:pPr>
      <w:r>
        <w:rPr>
          <w:rFonts w:ascii="Aptos" w:cs="Aptos" w:eastAsia="Aptos" w:hAnsi="Aptos"/>
          <w:b w:val="false"/>
          <w:bCs w:val="false"/>
          <w:i w:val="false"/>
          <w:iCs w:val="false"/>
          <w:color w:val="263238"/>
          <w:sz w:val="21"/>
          <w:szCs w:val="21"/>
        </w:rPr>
        <w:t xml:space="preserve">I use a boundary-first method: reproduce the symptom, identify the first layer where expected and actual results diverge, classify the issue as source, data, logic, security, or platform, and use batch and lineage metadata to narrow the scope. I make the smallest reversible correction, rerun only the affected interval when possible, and prove recovery through reconciliation.</w:t>
      </w:r>
    </w:p>
    <w:p>
      <w:pPr>
        <w:pStyle w:val="Heading3"/>
        <w:keepNext/>
        <w:spacing w:after="120" w:before="220"/>
      </w:pPr>
      <w:r>
        <w:t xml:space="preserve">Gold totals do not match Silver</w:t>
      </w:r>
    </w:p>
    <w:p>
      <w:pPr>
        <w:spacing w:after="120" w:before="0" w:line="276"/>
        <w:jc w:val="left"/>
      </w:pPr>
      <w:r>
        <w:rPr>
          <w:rFonts w:ascii="Aptos" w:cs="Aptos" w:eastAsia="Aptos" w:hAnsi="Aptos"/>
          <w:b w:val="false"/>
          <w:bCs w:val="false"/>
          <w:i w:val="false"/>
          <w:iCs w:val="false"/>
          <w:color w:val="263238"/>
          <w:sz w:val="21"/>
          <w:szCs w:val="21"/>
        </w:rPr>
        <w:t xml:space="preserve">Check grain and fan-out first; reconcile counts and amounts by batch; inspect rejects, deduplication, late dimensions, join type, and status filters. Do not “fix” the report until the layer where divergence begins is identified.</w:t>
      </w:r>
    </w:p>
    <w:p>
      <w:pPr>
        <w:pStyle w:val="Heading3"/>
        <w:keepNext/>
        <w:spacing w:after="120" w:before="220"/>
      </w:pPr>
      <w:r>
        <w:t xml:space="preserve">Incremental load missed records</w:t>
      </w:r>
    </w:p>
    <w:p>
      <w:pPr>
        <w:spacing w:after="120" w:before="0" w:line="276"/>
        <w:jc w:val="left"/>
      </w:pPr>
      <w:r>
        <w:rPr>
          <w:rFonts w:ascii="Aptos" w:cs="Aptos" w:eastAsia="Aptos" w:hAnsi="Aptos"/>
          <w:b w:val="false"/>
          <w:bCs w:val="false"/>
          <w:i w:val="false"/>
          <w:iCs w:val="false"/>
          <w:color w:val="263238"/>
          <w:sz w:val="21"/>
          <w:szCs w:val="21"/>
        </w:rPr>
        <w:t xml:space="preserve">Inspect source timestamp guarantees, timezone and boundary operators, watermark commit timing, equal timestamps, and late-arriving changes. Reprocess an overlap window and move to a composite watermark or CDC if needed.</w:t>
      </w:r>
    </w:p>
    <w:p>
      <w:pPr>
        <w:pStyle w:val="Heading3"/>
        <w:keepNext/>
        <w:spacing w:after="120" w:before="220"/>
      </w:pPr>
      <w:r>
        <w:t xml:space="preserve">Duplicate facts after retry</w:t>
      </w:r>
    </w:p>
    <w:p>
      <w:pPr>
        <w:spacing w:after="120" w:before="0" w:line="276"/>
        <w:jc w:val="left"/>
      </w:pPr>
      <w:r>
        <w:rPr>
          <w:rFonts w:ascii="Aptos" w:cs="Aptos" w:eastAsia="Aptos" w:hAnsi="Aptos"/>
          <w:b w:val="false"/>
          <w:bCs w:val="false"/>
          <w:i w:val="false"/>
          <w:iCs w:val="false"/>
          <w:color w:val="263238"/>
          <w:sz w:val="21"/>
          <w:szCs w:val="21"/>
        </w:rPr>
        <w:t xml:space="preserve">Confirm batch identity, MERGE key and grain, target uniqueness, and whether the watermark advanced early. Repair the affected bounded batch using deterministic deduplication, then fix commit ordering.</w:t>
      </w:r>
    </w:p>
    <w:p>
      <w:pPr>
        <w:pStyle w:val="Heading3"/>
        <w:keepNext/>
        <w:spacing w:after="120" w:before="220"/>
      </w:pPr>
      <w:r>
        <w:t xml:space="preserve">RLS shows too much or too little</w:t>
      </w:r>
    </w:p>
    <w:p>
      <w:pPr>
        <w:spacing w:after="120" w:before="0" w:line="276"/>
        <w:jc w:val="left"/>
      </w:pPr>
      <w:r>
        <w:rPr>
          <w:rFonts w:ascii="Aptos" w:cs="Aptos" w:eastAsia="Aptos" w:hAnsi="Aptos"/>
          <w:b w:val="false"/>
          <w:bCs w:val="false"/>
          <w:i w:val="false"/>
          <w:iCs w:val="false"/>
          <w:color w:val="263238"/>
          <w:sz w:val="21"/>
          <w:szCs w:val="21"/>
        </w:rPr>
        <w:t xml:space="preserve">Test as the exact role and user; inspect mapping-table values, identity format, active relationships, filter direction, orphan keys, and measures that intentionally remove filters.</w:t>
      </w:r>
    </w:p>
    <w:p>
      <w:pPr>
        <w:pStyle w:val="Heading3"/>
        <w:keepNext/>
        <w:spacing w:after="120" w:before="220"/>
      </w:pPr>
      <w:r>
        <w:t xml:space="preserve">Direct Lake report is slow</w:t>
      </w:r>
    </w:p>
    <w:p>
      <w:pPr>
        <w:spacing w:after="120" w:before="0" w:line="276"/>
        <w:jc w:val="left"/>
      </w:pPr>
      <w:r>
        <w:rPr>
          <w:rFonts w:ascii="Aptos" w:cs="Aptos" w:eastAsia="Aptos" w:hAnsi="Aptos"/>
          <w:b w:val="false"/>
          <w:bCs w:val="false"/>
          <w:i w:val="false"/>
          <w:iCs w:val="false"/>
          <w:color w:val="263238"/>
          <w:sz w:val="21"/>
          <w:szCs w:val="21"/>
        </w:rPr>
        <w:t xml:space="preserve">Identify whether the query uses the intended mode; inspect table size and file layout, high-cardinality fields, relationship complexity, DAX query plan, visual count, capacity pressure, and fallback behavior.</w:t>
      </w:r>
    </w:p>
    <w:p>
      <w:pPr>
        <w:pStyle w:val="Heading3"/>
        <w:keepNext/>
        <w:spacing w:after="120" w:before="220"/>
      </w:pPr>
      <w:r>
        <w:t xml:space="preserve">Quality reject rate spikes</w:t>
      </w:r>
    </w:p>
    <w:p>
      <w:pPr>
        <w:spacing w:after="120" w:before="0" w:line="276"/>
        <w:jc w:val="left"/>
      </w:pPr>
      <w:r>
        <w:rPr>
          <w:rFonts w:ascii="Aptos" w:cs="Aptos" w:eastAsia="Aptos" w:hAnsi="Aptos"/>
          <w:b w:val="false"/>
          <w:bCs w:val="false"/>
          <w:i w:val="false"/>
          <w:iCs w:val="false"/>
          <w:color w:val="263238"/>
          <w:sz w:val="21"/>
          <w:szCs w:val="21"/>
        </w:rPr>
        <w:t xml:space="preserve">Compare by rule, source, entity, and batch; determine whether it is true business deterioration, schema drift, parsing failure, or a rule change. Block promotion when the spike is systemic.</w:t>
      </w:r>
    </w:p>
    <w:p>
      <w:pPr>
        <w:pStyle w:val="Heading3"/>
        <w:keepNext/>
        <w:spacing w:after="120" w:before="220"/>
      </w:pPr>
      <w:r>
        <w:t xml:space="preserve">Spark session cannot start</w:t>
      </w:r>
    </w:p>
    <w:p>
      <w:pPr>
        <w:spacing w:after="120" w:before="0" w:line="276"/>
        <w:jc w:val="left"/>
      </w:pPr>
      <w:r>
        <w:rPr>
          <w:rFonts w:ascii="Aptos" w:cs="Aptos" w:eastAsia="Aptos" w:hAnsi="Aptos"/>
          <w:b w:val="false"/>
          <w:bCs w:val="false"/>
          <w:i w:val="false"/>
          <w:iCs w:val="false"/>
          <w:color w:val="263238"/>
          <w:sz w:val="21"/>
          <w:szCs w:val="21"/>
        </w:rPr>
        <w:t xml:space="preserve">Separate platform startup errors from code execution. Check Fabric capacity, concurrent sessions, throttling, and retry behavior; avoid retry storms and rerun safely after capacity recovers.</w:t>
      </w:r>
    </w:p>
    <w:p>
      <w:pPr>
        <w:keepNext/>
        <w:spacing w:after="70" w:before="150"/>
      </w:pPr>
      <w:r>
        <w:rPr>
          <w:rFonts w:ascii="Aptos" w:cs="Aptos" w:eastAsia="Aptos" w:hAnsi="Aptos"/>
          <w:b/>
          <w:bCs/>
          <w:i w:val="false"/>
          <w:iCs w:val="false"/>
          <w:color w:val="1E7A78"/>
          <w:sz w:val="20"/>
          <w:szCs w:val="20"/>
        </w:rPr>
        <w:t xml:space="preserve">Key Points / Memory Flow</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Observe → localize the first bad boundary → classify → contain → correct → replay → reconcile → prevent recurrence.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Use batch ID, watermark interval, lineage, reject rules, and control totals as evidence.</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Distinguish data/code failures from service/capacity failures before changing logic.</w:t>
      </w:r>
    </w:p>
    <w:p>
      <w:pPr>
        <w:keepNext/>
        <w:spacing w:after="70" w:before="150"/>
      </w:pPr>
      <w:r>
        <w:rPr>
          <w:rFonts w:ascii="Aptos" w:cs="Aptos" w:eastAsia="Aptos" w:hAnsi="Aptos"/>
          <w:b/>
          <w:bCs/>
          <w:i w:val="false"/>
          <w:iCs w:val="false"/>
          <w:color w:val="1E7A78"/>
          <w:sz w:val="20"/>
          <w:szCs w:val="20"/>
        </w:rPr>
        <w:t xml:space="preserve">30-Second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troubleshoot from the outside in: reproduce, locate the first layer where the result diverges, classify the failure, and use batch, watermark, lineage, and control totals to isolate it. I correct and replay the smallest safe interval, reconcile the outcome, and then add a control that prevents recurrence.</w:t>
      </w:r>
    </w:p>
    <w:p>
      <w:pPr>
        <w:pStyle w:val="Heading1"/>
        <w:keepNext/>
        <w:spacing w:after="120" w:before="320"/>
      </w:pPr>
      <w:r>
        <w:t xml:space="preserve">14. Architect-Level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6324F" w:val="clear"/>
          </w:tcPr>
          <w:p>
            <w:pPr>
              <w:spacing w:after="0" w:before="0" w:line="276"/>
              <w:jc w:val="left"/>
            </w:pPr>
            <w:r>
              <w:rPr>
                <w:rFonts w:ascii="Aptos" w:cs="Aptos" w:eastAsia="Aptos" w:hAnsi="Aptos"/>
                <w:b/>
                <w:bCs/>
                <w:i w:val="false"/>
                <w:iCs w:val="false"/>
                <w:color w:val="FFFFFF"/>
                <w:sz w:val="21"/>
                <w:szCs w:val="21"/>
              </w:rPr>
              <w:t xml:space="preserve">Decision</w:t>
            </w:r>
          </w:p>
        </w:tc>
        <w:tc>
          <w:tcPr>
            <w:tcW w:type="dxa" w:w="6860"/>
            <w:shd w:fill="16324F" w:val="clear"/>
          </w:tcPr>
          <w:p>
            <w:pPr>
              <w:spacing w:after="0" w:before="0" w:line="276"/>
              <w:jc w:val="left"/>
            </w:pPr>
            <w:r>
              <w:rPr>
                <w:rFonts w:ascii="Aptos" w:cs="Aptos" w:eastAsia="Aptos" w:hAnsi="Aptos"/>
                <w:b/>
                <w:bCs/>
                <w:i w:val="false"/>
                <w:iCs w:val="false"/>
                <w:color w:val="FFFFFF"/>
                <w:sz w:val="21"/>
                <w:szCs w:val="21"/>
              </w:rPr>
              <w:t xml:space="preserve">How I Frame the Tradeoff</w:t>
            </w:r>
          </w:p>
        </w:tc>
      </w:tr>
      <w:tr>
        <w:tc>
          <w:tcPr>
            <w:tcW w:type="dxa" w:w="2500"/>
            <w:shd w:fill="FFFFFF" w:val="clear"/>
          </w:tcPr>
          <w:p>
            <w:pPr>
              <w:spacing w:after="0" w:before="0" w:line="276"/>
              <w:jc w:val="left"/>
            </w:pPr>
            <w:r>
              <w:rPr>
                <w:rFonts w:ascii="Aptos" w:cs="Aptos" w:eastAsia="Aptos" w:hAnsi="Aptos"/>
                <w:b/>
                <w:bCs/>
                <w:i w:val="false"/>
                <w:iCs w:val="false"/>
                <w:color w:val="263238"/>
                <w:sz w:val="21"/>
                <w:szCs w:val="21"/>
              </w:rPr>
              <w:t xml:space="preserve">Lakehouse vs Warehouse</w:t>
            </w:r>
          </w:p>
        </w:tc>
        <w:tc>
          <w:tcPr>
            <w:tcW w:type="dxa" w:w="6860"/>
            <w:shd w:fill="FFFFFF" w:val="clear"/>
          </w:tcPr>
          <w:p>
            <w:pPr>
              <w:spacing w:after="0" w:before="0" w:line="276"/>
              <w:jc w:val="left"/>
            </w:pPr>
            <w:r>
              <w:rPr>
                <w:rFonts w:ascii="Aptos" w:cs="Aptos" w:eastAsia="Aptos" w:hAnsi="Aptos"/>
                <w:b w:val="false"/>
                <w:bCs w:val="false"/>
                <w:i w:val="false"/>
                <w:iCs w:val="false"/>
                <w:color w:val="263238"/>
                <w:sz w:val="21"/>
                <w:szCs w:val="21"/>
              </w:rPr>
              <w:t xml:space="preserve">Lakehouse fits Delta/Spark engineering and open data patterns; Warehouse fits SQL-centric teams and relational serving. Fabric can use both, but ownership and duplication must be clear.</w:t>
            </w:r>
          </w:p>
        </w:tc>
      </w:tr>
      <w:tr>
        <w:tc>
          <w:tcPr>
            <w:tcW w:type="dxa" w:w="2500"/>
            <w:shd w:fill="EAF3F6" w:val="clear"/>
          </w:tcPr>
          <w:p>
            <w:pPr>
              <w:spacing w:after="0" w:before="0" w:line="276"/>
              <w:jc w:val="left"/>
            </w:pPr>
            <w:r>
              <w:rPr>
                <w:rFonts w:ascii="Aptos" w:cs="Aptos" w:eastAsia="Aptos" w:hAnsi="Aptos"/>
                <w:b/>
                <w:bCs/>
                <w:i w:val="false"/>
                <w:iCs w:val="false"/>
                <w:color w:val="263238"/>
                <w:sz w:val="21"/>
                <w:szCs w:val="21"/>
              </w:rPr>
              <w:t xml:space="preserve">MERGE vs append-only</w:t>
            </w:r>
          </w:p>
        </w:tc>
        <w:tc>
          <w:tcPr>
            <w:tcW w:type="dxa" w:w="6860"/>
            <w:shd w:fill="EAF3F6" w:val="clear"/>
          </w:tcPr>
          <w:p>
            <w:pPr>
              <w:spacing w:after="0" w:before="0" w:line="276"/>
              <w:jc w:val="left"/>
            </w:pPr>
            <w:r>
              <w:rPr>
                <w:rFonts w:ascii="Aptos" w:cs="Aptos" w:eastAsia="Aptos" w:hAnsi="Aptos"/>
                <w:b w:val="false"/>
                <w:bCs w:val="false"/>
                <w:i w:val="false"/>
                <w:iCs w:val="false"/>
                <w:color w:val="263238"/>
                <w:sz w:val="21"/>
                <w:szCs w:val="21"/>
              </w:rPr>
              <w:t xml:space="preserve">MERGE supports mutable entities and retry-safe upserts; append is simpler and cheaper for immutable events but requires a strict uniqueness/replay strategy.</w:t>
            </w:r>
          </w:p>
        </w:tc>
      </w:tr>
      <w:tr>
        <w:tc>
          <w:tcPr>
            <w:tcW w:type="dxa" w:w="2500"/>
            <w:shd w:fill="FFFFFF" w:val="clear"/>
          </w:tcPr>
          <w:p>
            <w:pPr>
              <w:spacing w:after="0" w:before="0" w:line="276"/>
              <w:jc w:val="left"/>
            </w:pPr>
            <w:r>
              <w:rPr>
                <w:rFonts w:ascii="Aptos" w:cs="Aptos" w:eastAsia="Aptos" w:hAnsi="Aptos"/>
                <w:b/>
                <w:bCs/>
                <w:i w:val="false"/>
                <w:iCs w:val="false"/>
                <w:color w:val="263238"/>
                <w:sz w:val="21"/>
                <w:szCs w:val="21"/>
              </w:rPr>
              <w:t xml:space="preserve">Batch vs streaming</w:t>
            </w:r>
          </w:p>
        </w:tc>
        <w:tc>
          <w:tcPr>
            <w:tcW w:type="dxa" w:w="6860"/>
            <w:shd w:fill="FFFFFF" w:val="clear"/>
          </w:tcPr>
          <w:p>
            <w:pPr>
              <w:spacing w:after="0" w:before="0" w:line="276"/>
              <w:jc w:val="left"/>
            </w:pPr>
            <w:r>
              <w:rPr>
                <w:rFonts w:ascii="Aptos" w:cs="Aptos" w:eastAsia="Aptos" w:hAnsi="Aptos"/>
                <w:b w:val="false"/>
                <w:bCs w:val="false"/>
                <w:i w:val="false"/>
                <w:iCs w:val="false"/>
                <w:color w:val="263238"/>
                <w:sz w:val="21"/>
                <w:szCs w:val="21"/>
              </w:rPr>
              <w:t xml:space="preserve">Batch is operationally simpler and adequate for daily or hourly SLAs; streaming improves latency but adds state, ordering, cost, and recovery complexity.</w:t>
            </w:r>
          </w:p>
        </w:tc>
      </w:tr>
      <w:tr>
        <w:tc>
          <w:tcPr>
            <w:tcW w:type="dxa" w:w="2500"/>
            <w:shd w:fill="EAF3F6" w:val="clear"/>
          </w:tcPr>
          <w:p>
            <w:pPr>
              <w:spacing w:after="0" w:before="0" w:line="276"/>
              <w:jc w:val="left"/>
            </w:pPr>
            <w:r>
              <w:rPr>
                <w:rFonts w:ascii="Aptos" w:cs="Aptos" w:eastAsia="Aptos" w:hAnsi="Aptos"/>
                <w:b/>
                <w:bCs/>
                <w:i w:val="false"/>
                <w:iCs w:val="false"/>
                <w:color w:val="263238"/>
                <w:sz w:val="21"/>
                <w:szCs w:val="21"/>
              </w:rPr>
              <w:t xml:space="preserve">Fail batch vs quarantine</w:t>
            </w:r>
          </w:p>
        </w:tc>
        <w:tc>
          <w:tcPr>
            <w:tcW w:type="dxa" w:w="6860"/>
            <w:shd w:fill="EAF3F6" w:val="clear"/>
          </w:tcPr>
          <w:p>
            <w:pPr>
              <w:spacing w:after="0" w:before="0" w:line="276"/>
              <w:jc w:val="left"/>
            </w:pPr>
            <w:r>
              <w:rPr>
                <w:rFonts w:ascii="Aptos" w:cs="Aptos" w:eastAsia="Aptos" w:hAnsi="Aptos"/>
                <w:b w:val="false"/>
                <w:bCs w:val="false"/>
                <w:i w:val="false"/>
                <w:iCs w:val="false"/>
                <w:color w:val="263238"/>
                <w:sz w:val="21"/>
                <w:szCs w:val="21"/>
              </w:rPr>
              <w:t xml:space="preserve">Fail when the defect threatens trust or indicates systemic corruption; quarantine isolated known defects under a governed threshold so unaffected data remains timely.</w:t>
            </w:r>
          </w:p>
        </w:tc>
      </w:tr>
      <w:tr>
        <w:tc>
          <w:tcPr>
            <w:tcW w:type="dxa" w:w="2500"/>
            <w:shd w:fill="FFFFFF" w:val="clear"/>
          </w:tcPr>
          <w:p>
            <w:pPr>
              <w:spacing w:after="0" w:before="0" w:line="276"/>
              <w:jc w:val="left"/>
            </w:pPr>
            <w:r>
              <w:rPr>
                <w:rFonts w:ascii="Aptos" w:cs="Aptos" w:eastAsia="Aptos" w:hAnsi="Aptos"/>
                <w:b/>
                <w:bCs/>
                <w:i w:val="false"/>
                <w:iCs w:val="false"/>
                <w:color w:val="263238"/>
                <w:sz w:val="21"/>
                <w:szCs w:val="21"/>
              </w:rPr>
              <w:t xml:space="preserve">SCD Type 1 vs Type 2</w:t>
            </w:r>
          </w:p>
        </w:tc>
        <w:tc>
          <w:tcPr>
            <w:tcW w:type="dxa" w:w="6860"/>
            <w:shd w:fill="FFFFFF" w:val="clear"/>
          </w:tcPr>
          <w:p>
            <w:pPr>
              <w:spacing w:after="0" w:before="0" w:line="276"/>
              <w:jc w:val="left"/>
            </w:pPr>
            <w:r>
              <w:rPr>
                <w:rFonts w:ascii="Aptos" w:cs="Aptos" w:eastAsia="Aptos" w:hAnsi="Aptos"/>
                <w:b w:val="false"/>
                <w:bCs w:val="false"/>
                <w:i w:val="false"/>
                <w:iCs w:val="false"/>
                <w:color w:val="263238"/>
                <w:sz w:val="21"/>
                <w:szCs w:val="21"/>
              </w:rPr>
              <w:t xml:space="preserve">Type 1 gives current-state simplicity; Type 2 preserves historical context but increases row counts, key management, and query complexity.</w:t>
            </w:r>
          </w:p>
        </w:tc>
      </w:tr>
      <w:tr>
        <w:tc>
          <w:tcPr>
            <w:tcW w:type="dxa" w:w="2500"/>
            <w:shd w:fill="EAF3F6" w:val="clear"/>
          </w:tcPr>
          <w:p>
            <w:pPr>
              <w:spacing w:after="0" w:before="0" w:line="276"/>
              <w:jc w:val="left"/>
            </w:pPr>
            <w:r>
              <w:rPr>
                <w:rFonts w:ascii="Aptos" w:cs="Aptos" w:eastAsia="Aptos" w:hAnsi="Aptos"/>
                <w:b/>
                <w:bCs/>
                <w:i w:val="false"/>
                <w:iCs w:val="false"/>
                <w:color w:val="263238"/>
                <w:sz w:val="21"/>
                <w:szCs w:val="21"/>
              </w:rPr>
              <w:t xml:space="preserve">Direct Lake vs Import vs DirectQuery</w:t>
            </w:r>
          </w:p>
        </w:tc>
        <w:tc>
          <w:tcPr>
            <w:tcW w:type="dxa" w:w="6860"/>
            <w:shd w:fill="EAF3F6" w:val="clear"/>
          </w:tcPr>
          <w:p>
            <w:pPr>
              <w:spacing w:after="0" w:before="0" w:line="276"/>
              <w:jc w:val="left"/>
            </w:pPr>
            <w:r>
              <w:rPr>
                <w:rFonts w:ascii="Aptos" w:cs="Aptos" w:eastAsia="Aptos" w:hAnsi="Aptos"/>
                <w:b w:val="false"/>
                <w:bCs w:val="false"/>
                <w:i w:val="false"/>
                <w:iCs w:val="false"/>
                <w:color w:val="263238"/>
                <w:sz w:val="21"/>
                <w:szCs w:val="21"/>
              </w:rPr>
              <w:t xml:space="preserve">Direct Lake aligns well with Fabric Delta data; Import offers predictable performance for smaller curated models; DirectQuery preserves source access patterns but depends on source latency and concurrency.</w:t>
            </w:r>
          </w:p>
        </w:tc>
      </w:tr>
      <w:tr>
        <w:tc>
          <w:tcPr>
            <w:tcW w:type="dxa" w:w="2500"/>
            <w:shd w:fill="FFFFFF" w:val="clear"/>
          </w:tcPr>
          <w:p>
            <w:pPr>
              <w:spacing w:after="0" w:before="0" w:line="276"/>
              <w:jc w:val="left"/>
            </w:pPr>
            <w:r>
              <w:rPr>
                <w:rFonts w:ascii="Aptos" w:cs="Aptos" w:eastAsia="Aptos" w:hAnsi="Aptos"/>
                <w:b/>
                <w:bCs/>
                <w:i w:val="false"/>
                <w:iCs w:val="false"/>
                <w:color w:val="263238"/>
                <w:sz w:val="21"/>
                <w:szCs w:val="21"/>
              </w:rPr>
              <w:t xml:space="preserve">Scale capacity vs optimize workload</w:t>
            </w:r>
          </w:p>
        </w:tc>
        <w:tc>
          <w:tcPr>
            <w:tcW w:type="dxa" w:w="6860"/>
            <w:shd w:fill="FFFFFF" w:val="clear"/>
          </w:tcPr>
          <w:p>
            <w:pPr>
              <w:spacing w:after="0" w:before="0" w:line="276"/>
              <w:jc w:val="left"/>
            </w:pPr>
            <w:r>
              <w:rPr>
                <w:rFonts w:ascii="Aptos" w:cs="Aptos" w:eastAsia="Aptos" w:hAnsi="Aptos"/>
                <w:b w:val="false"/>
                <w:bCs w:val="false"/>
                <w:i w:val="false"/>
                <w:iCs w:val="false"/>
                <w:color w:val="263238"/>
                <w:sz w:val="21"/>
                <w:szCs w:val="21"/>
              </w:rPr>
              <w:t xml:space="preserve">More capacity can restore headroom quickly; optimization reduces long-term cost and contention. Use evidence, and often do both in sequence.</w:t>
            </w:r>
          </w:p>
        </w:tc>
      </w:tr>
      <w:tr>
        <w:tc>
          <w:tcPr>
            <w:tcW w:type="dxa" w:w="2500"/>
            <w:shd w:fill="EAF3F6" w:val="clear"/>
          </w:tcPr>
          <w:p>
            <w:pPr>
              <w:spacing w:after="0" w:before="0" w:line="276"/>
              <w:jc w:val="left"/>
            </w:pPr>
            <w:r>
              <w:rPr>
                <w:rFonts w:ascii="Aptos" w:cs="Aptos" w:eastAsia="Aptos" w:hAnsi="Aptos"/>
                <w:b/>
                <w:bCs/>
                <w:i w:val="false"/>
                <w:iCs w:val="false"/>
                <w:color w:val="263238"/>
                <w:sz w:val="21"/>
                <w:szCs w:val="21"/>
              </w:rPr>
              <w:t xml:space="preserve">Hard-coded vs dynamic RLS</w:t>
            </w:r>
          </w:p>
        </w:tc>
        <w:tc>
          <w:tcPr>
            <w:tcW w:type="dxa" w:w="6860"/>
            <w:shd w:fill="EAF3F6" w:val="clear"/>
          </w:tcPr>
          <w:p>
            <w:pPr>
              <w:spacing w:after="0" w:before="0" w:line="276"/>
              <w:jc w:val="left"/>
            </w:pPr>
            <w:r>
              <w:rPr>
                <w:rFonts w:ascii="Aptos" w:cs="Aptos" w:eastAsia="Aptos" w:hAnsi="Aptos"/>
                <w:b w:val="false"/>
                <w:bCs w:val="false"/>
                <w:i w:val="false"/>
                <w:iCs w:val="false"/>
                <w:color w:val="263238"/>
                <w:sz w:val="21"/>
                <w:szCs w:val="21"/>
              </w:rPr>
              <w:t xml:space="preserve">Hard-coded roles are easy for a demonstration; dynamic entitlement mapping is maintainable for real organizations but needs identity governance and testing.</w:t>
            </w:r>
          </w:p>
        </w:tc>
      </w:tr>
    </w:tbl>
    <w:p>
      <w:pPr>
        <w:pStyle w:val="Heading1"/>
        <w:keepNext/>
        <w:spacing w:after="120" w:before="320"/>
      </w:pPr>
      <w:r>
        <w:t xml:space="preserve">15. Final Two-Minute Project Summary</w:t>
      </w:r>
    </w:p>
    <w:p>
      <w:pPr>
        <w:keepNext/>
        <w:spacing w:after="70" w:before="150"/>
      </w:pPr>
      <w:r>
        <w:rPr>
          <w:rFonts w:ascii="Aptos" w:cs="Aptos" w:eastAsia="Aptos" w:hAnsi="Aptos"/>
          <w:b/>
          <w:bCs/>
          <w:i w:val="false"/>
          <w:iCs w:val="false"/>
          <w:color w:val="1E7A78"/>
          <w:sz w:val="20"/>
          <w:szCs w:val="20"/>
        </w:rPr>
        <w:t xml:space="preserve">Interview Question</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Please summarize the project and your contribution in two minutes.</w:t>
      </w:r>
    </w:p>
    <w:p>
      <w:pPr>
        <w:keepNext/>
        <w:spacing w:after="70" w:before="150"/>
      </w:pPr>
      <w:r>
        <w:rPr>
          <w:rFonts w:ascii="Aptos" w:cs="Aptos" w:eastAsia="Aptos" w:hAnsi="Aptos"/>
          <w:b/>
          <w:bCs/>
          <w:i w:val="false"/>
          <w:iCs w:val="false"/>
          <w:color w:val="1E7A78"/>
          <w:sz w:val="20"/>
          <w:szCs w:val="20"/>
        </w:rPr>
        <w:t xml:space="preserve">Narrative Answer</w:t>
      </w:r>
    </w:p>
    <w:p>
      <w:pPr>
        <w:pBdr>
          <w:left w:val="single" w:color="C99732" w:sz="18" w:space="12"/>
        </w:pBdr>
        <w:spacing w:after="130" w:before="80" w:line="285"/>
        <w:ind w:left="420" w:right="260"/>
      </w:pPr>
      <w:r>
        <w:rPr>
          <w:rFonts w:ascii="Aptos" w:cs="Aptos" w:eastAsia="Aptos" w:hAnsi="Aptos"/>
          <w:b w:val="false"/>
          <w:bCs w:val="false"/>
          <w:i/>
          <w:iCs/>
          <w:color w:val="16324F"/>
          <w:sz w:val="22"/>
          <w:szCs w:val="22"/>
        </w:rPr>
        <w:t xml:space="preserve">I designed an end-to-end Microsoft Fabric insurance analytics platform for customer, policy, claim, and payment data. The objective was to give the business timely metrics without sacrificing traceability or financial trust.
I used a Medallion architecture. Bronze preserved source-aligned data and ingestion metadata. Silver standardized schemas and business values, processed changes incrementally through committed watermarks, and used Delta MERGE and business-key deduplication so reruns were idempotent. A separate quality gate tested completeness, uniqueness, validity, and referential integrity; invalid records were quarantined with reason codes instead of silently discarded.
Gold implemented dim_customer, dim_policy, dim_date, fact_claim, and fact_payment at explicit grains. Unknown members supported late-arriving dimensions, while count and amount reconciliation plus batch audit proved each promotion. A parameterized pipeline ran 01_Load_Bronze, 02_Bronze_To_Silver, 03_Silver_Data_Quality, and 04_Silver_To_Gold using incremental mode, automatic batch IDs, and environment configuration, with retries, timeouts, monitoring, and fail-fast dependencies.
I also handled a realistic Fabric incident where HTTP 430 TooManyRequestsForCapacity prevented a Livy Spark session from starting. I identified it as capacity contention, not transformation logic, recovered by creating capacity headroom and safely replaying the unchanged interval, and strengthened concurrency and backoff controls.
The Gold model fed a Direct Lake semantic model with one-to-many, single-direction relationships. I built governed measures for claim and payment totals, outstanding exposure, approval rate, paid-to-claim ratio, YTD, prior year, and YoY. Four Power BI pages guided users from executive health to claims, payments, and customer-policy detail. RLS restricted geography—for example NY through dim_customer—and propagated through the model.
The core value was a platform that was not only fast and useful, but explainable, secure, reconciled, and recoverable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360"/>
      </w:tblGrid>
      <w:tr>
        <w:tc>
          <w:tcPr>
            <w:tcW w:type="dxa" w:w="9360"/>
            <w:tcBorders>
              <w:top w:val="single" w:color="246B8E" w:sz="8"/>
              <w:left w:val="single" w:color="246B8E" w:sz="8"/>
              <w:bottom w:val="single" w:color="246B8E" w:sz="8"/>
              <w:right w:val="single" w:color="246B8E" w:sz="8"/>
            </w:tcBorders>
            <w:shd w:fill="EAF3F6" w:val="clear"/>
          </w:tcPr>
          <w:p>
            <w:pPr>
              <w:spacing w:after="0" w:before="0" w:line="276"/>
              <w:jc w:val="left"/>
            </w:pPr>
            <w:r>
              <w:rPr>
                <w:rFonts w:ascii="Aptos" w:cs="Aptos" w:eastAsia="Aptos" w:hAnsi="Aptos"/>
                <w:b/>
                <w:bCs/>
                <w:i w:val="false"/>
                <w:iCs w:val="false"/>
                <w:color w:val="246B8E"/>
                <w:sz w:val="21"/>
                <w:szCs w:val="21"/>
              </w:rPr>
              <w:t xml:space="preserve">FINAL MEMORY CUE  </w:t>
            </w:r>
            <w:r>
              <w:rPr>
                <w:rFonts w:ascii="Aptos" w:cs="Aptos" w:eastAsia="Aptos" w:hAnsi="Aptos"/>
                <w:b w:val="false"/>
                <w:bCs w:val="false"/>
                <w:i w:val="false"/>
                <w:iCs w:val="false"/>
                <w:color w:val="263238"/>
                <w:sz w:val="21"/>
                <w:szCs w:val="21"/>
              </w:rPr>
              <w:t xml:space="preserve">Business need → Capture raw evidence → Refine incrementally → Validate before promotion → Model at clear grain → Serve governed metrics → Secure the relationship path → Operate with evidence and safe recovery.</w:t>
            </w:r>
          </w:p>
        </w:tc>
      </w:tr>
    </w:tbl>
    <w:p>
      <w:pPr>
        <w:pStyle w:val="Heading1"/>
        <w:keepNext/>
        <w:spacing w:after="120" w:before="320"/>
      </w:pPr>
      <w:r>
        <w:t xml:space="preserve">Appendix A. Rapid Recall Sheet</w:t>
      </w:r>
    </w:p>
    <w:p>
      <w:pPr>
        <w:spacing w:after="120" w:before="0" w:line="276"/>
        <w:jc w:val="left"/>
      </w:pPr>
      <w:r>
        <w:rPr>
          <w:rFonts w:ascii="Aptos" w:cs="Aptos" w:eastAsia="Aptos" w:hAnsi="Aptos"/>
          <w:b/>
          <w:bCs/>
          <w:i w:val="false"/>
          <w:iCs w:val="false"/>
          <w:color w:val="1E7A78"/>
          <w:sz w:val="21"/>
          <w:szCs w:val="21"/>
        </w:rPr>
        <w:t xml:space="preserve">Architecture: </w:t>
      </w:r>
      <w:r>
        <w:rPr>
          <w:rFonts w:ascii="Aptos" w:cs="Aptos" w:eastAsia="Aptos" w:hAnsi="Aptos"/>
          <w:b w:val="false"/>
          <w:bCs w:val="false"/>
          <w:i w:val="false"/>
          <w:iCs w:val="false"/>
          <w:color w:val="263238"/>
          <w:sz w:val="21"/>
          <w:szCs w:val="21"/>
        </w:rPr>
        <w:t xml:space="preserve">Source → Bronze → Silver → Data Quality → Gold → Direct Lake → Power BI</w:t>
      </w:r>
    </w:p>
    <w:p>
      <w:pPr>
        <w:spacing w:after="120" w:before="0" w:line="276"/>
        <w:jc w:val="left"/>
      </w:pPr>
      <w:r>
        <w:rPr>
          <w:rFonts w:ascii="Aptos" w:cs="Aptos" w:eastAsia="Aptos" w:hAnsi="Aptos"/>
          <w:b/>
          <w:bCs/>
          <w:i w:val="false"/>
          <w:iCs w:val="false"/>
          <w:color w:val="1E7A78"/>
          <w:sz w:val="21"/>
          <w:szCs w:val="21"/>
        </w:rPr>
        <w:t xml:space="preserve">Pipeline: </w:t>
      </w:r>
      <w:r>
        <w:rPr>
          <w:rFonts w:ascii="Aptos" w:cs="Aptos" w:eastAsia="Aptos" w:hAnsi="Aptos"/>
          <w:b w:val="false"/>
          <w:bCs w:val="false"/>
          <w:i w:val="false"/>
          <w:iCs w:val="false"/>
          <w:color w:val="263238"/>
          <w:sz w:val="21"/>
          <w:szCs w:val="21"/>
        </w:rPr>
        <w:t xml:space="preserve">01_Load_Bronze → 02_Bronze_To_Silver → 03_Silver_Data_Quality → 04_Silver_To_Gold</w:t>
      </w:r>
    </w:p>
    <w:p>
      <w:pPr>
        <w:spacing w:after="120" w:before="0" w:line="276"/>
        <w:jc w:val="left"/>
      </w:pPr>
      <w:r>
        <w:rPr>
          <w:rFonts w:ascii="Aptos" w:cs="Aptos" w:eastAsia="Aptos" w:hAnsi="Aptos"/>
          <w:b/>
          <w:bCs/>
          <w:i w:val="false"/>
          <w:iCs w:val="false"/>
          <w:color w:val="1E7A78"/>
          <w:sz w:val="21"/>
          <w:szCs w:val="21"/>
        </w:rPr>
        <w:t xml:space="preserve">Parameters: </w:t>
      </w:r>
      <w:r>
        <w:rPr>
          <w:rFonts w:ascii="Aptos" w:cs="Aptos" w:eastAsia="Aptos" w:hAnsi="Aptos"/>
          <w:b w:val="false"/>
          <w:bCs w:val="false"/>
          <w:i w:val="false"/>
          <w:iCs w:val="false"/>
          <w:color w:val="263238"/>
          <w:sz w:val="21"/>
          <w:szCs w:val="21"/>
        </w:rPr>
        <w:t xml:space="preserve">p_run_mode=INCREMENTAL • p_batch_id=AUTO • p_environment=DEV</w:t>
      </w:r>
    </w:p>
    <w:p>
      <w:pPr>
        <w:spacing w:after="120" w:before="0" w:line="276"/>
        <w:jc w:val="left"/>
      </w:pPr>
      <w:r>
        <w:rPr>
          <w:rFonts w:ascii="Aptos" w:cs="Aptos" w:eastAsia="Aptos" w:hAnsi="Aptos"/>
          <w:b/>
          <w:bCs/>
          <w:i w:val="false"/>
          <w:iCs w:val="false"/>
          <w:color w:val="1E7A78"/>
          <w:sz w:val="21"/>
          <w:szCs w:val="21"/>
        </w:rPr>
        <w:t xml:space="preserve">Entities: </w:t>
      </w:r>
      <w:r>
        <w:rPr>
          <w:rFonts w:ascii="Aptos" w:cs="Aptos" w:eastAsia="Aptos" w:hAnsi="Aptos"/>
          <w:b w:val="false"/>
          <w:bCs w:val="false"/>
          <w:i w:val="false"/>
          <w:iCs w:val="false"/>
          <w:color w:val="263238"/>
          <w:sz w:val="21"/>
          <w:szCs w:val="21"/>
        </w:rPr>
        <w:t xml:space="preserve">customer • policy • claim • payment</w:t>
      </w:r>
    </w:p>
    <w:p>
      <w:pPr>
        <w:spacing w:after="120" w:before="0" w:line="276"/>
        <w:jc w:val="left"/>
      </w:pPr>
      <w:r>
        <w:rPr>
          <w:rFonts w:ascii="Aptos" w:cs="Aptos" w:eastAsia="Aptos" w:hAnsi="Aptos"/>
          <w:b/>
          <w:bCs/>
          <w:i w:val="false"/>
          <w:iCs w:val="false"/>
          <w:color w:val="1E7A78"/>
          <w:sz w:val="21"/>
          <w:szCs w:val="21"/>
        </w:rPr>
        <w:t xml:space="preserve">Gold: </w:t>
      </w:r>
      <w:r>
        <w:rPr>
          <w:rFonts w:ascii="Aptos" w:cs="Aptos" w:eastAsia="Aptos" w:hAnsi="Aptos"/>
          <w:b w:val="false"/>
          <w:bCs w:val="false"/>
          <w:i w:val="false"/>
          <w:iCs w:val="false"/>
          <w:color w:val="263238"/>
          <w:sz w:val="21"/>
          <w:szCs w:val="21"/>
        </w:rPr>
        <w:t xml:space="preserve">dim_customer • dim_policy • dim_date • fact_claim • fact_payment</w:t>
      </w:r>
    </w:p>
    <w:p>
      <w:pPr>
        <w:spacing w:after="120" w:before="0" w:line="276"/>
        <w:jc w:val="left"/>
      </w:pPr>
      <w:r>
        <w:rPr>
          <w:rFonts w:ascii="Aptos" w:cs="Aptos" w:eastAsia="Aptos" w:hAnsi="Aptos"/>
          <w:b/>
          <w:bCs/>
          <w:i w:val="false"/>
          <w:iCs w:val="false"/>
          <w:color w:val="1E7A78"/>
          <w:sz w:val="21"/>
          <w:szCs w:val="21"/>
        </w:rPr>
        <w:t xml:space="preserve">Reliability: </w:t>
      </w:r>
      <w:r>
        <w:rPr>
          <w:rFonts w:ascii="Aptos" w:cs="Aptos" w:eastAsia="Aptos" w:hAnsi="Aptos"/>
          <w:b w:val="false"/>
          <w:bCs w:val="false"/>
          <w:i w:val="false"/>
          <w:iCs w:val="false"/>
          <w:color w:val="263238"/>
          <w:sz w:val="21"/>
          <w:szCs w:val="21"/>
        </w:rPr>
        <w:t xml:space="preserve">watermark • fixed interval • MERGE • dedupe • idempotent retry • success-only commit</w:t>
      </w:r>
    </w:p>
    <w:p>
      <w:pPr>
        <w:spacing w:after="120" w:before="0" w:line="276"/>
        <w:jc w:val="left"/>
      </w:pPr>
      <w:r>
        <w:rPr>
          <w:rFonts w:ascii="Aptos" w:cs="Aptos" w:eastAsia="Aptos" w:hAnsi="Aptos"/>
          <w:b/>
          <w:bCs/>
          <w:i w:val="false"/>
          <w:iCs w:val="false"/>
          <w:color w:val="1E7A78"/>
          <w:sz w:val="21"/>
          <w:szCs w:val="21"/>
        </w:rPr>
        <w:t xml:space="preserve">Quality: </w:t>
      </w:r>
      <w:r>
        <w:rPr>
          <w:rFonts w:ascii="Aptos" w:cs="Aptos" w:eastAsia="Aptos" w:hAnsi="Aptos"/>
          <w:b w:val="false"/>
          <w:bCs w:val="false"/>
          <w:i w:val="false"/>
          <w:iCs w:val="false"/>
          <w:color w:val="263238"/>
          <w:sz w:val="21"/>
          <w:szCs w:val="21"/>
        </w:rPr>
        <w:t xml:space="preserve">required • unique • valid • business rule • referential integrity • rejects</w:t>
      </w:r>
    </w:p>
    <w:p>
      <w:pPr>
        <w:spacing w:after="120" w:before="0" w:line="276"/>
        <w:jc w:val="left"/>
      </w:pPr>
      <w:r>
        <w:rPr>
          <w:rFonts w:ascii="Aptos" w:cs="Aptos" w:eastAsia="Aptos" w:hAnsi="Aptos"/>
          <w:b/>
          <w:bCs/>
          <w:i w:val="false"/>
          <w:iCs w:val="false"/>
          <w:color w:val="1E7A78"/>
          <w:sz w:val="21"/>
          <w:szCs w:val="21"/>
        </w:rPr>
        <w:t xml:space="preserve">Measures: </w:t>
      </w:r>
      <w:r>
        <w:rPr>
          <w:rFonts w:ascii="Aptos" w:cs="Aptos" w:eastAsia="Aptos" w:hAnsi="Aptos"/>
          <w:b w:val="false"/>
          <w:bCs w:val="false"/>
          <w:i w:val="false"/>
          <w:iCs w:val="false"/>
          <w:color w:val="263238"/>
          <w:sz w:val="21"/>
          <w:szCs w:val="21"/>
        </w:rPr>
        <w:t xml:space="preserve">claims • payments • outstanding • approval • paid-to-claim • YTD • PY • YoY</w:t>
      </w:r>
    </w:p>
    <w:p>
      <w:pPr>
        <w:spacing w:after="120" w:before="0" w:line="276"/>
        <w:jc w:val="left"/>
      </w:pPr>
      <w:r>
        <w:rPr>
          <w:rFonts w:ascii="Aptos" w:cs="Aptos" w:eastAsia="Aptos" w:hAnsi="Aptos"/>
          <w:b/>
          <w:bCs/>
          <w:i w:val="false"/>
          <w:iCs w:val="false"/>
          <w:color w:val="1E7A78"/>
          <w:sz w:val="21"/>
          <w:szCs w:val="21"/>
        </w:rPr>
        <w:t xml:space="preserve">Pages: </w:t>
      </w:r>
      <w:r>
        <w:rPr>
          <w:rFonts w:ascii="Aptos" w:cs="Aptos" w:eastAsia="Aptos" w:hAnsi="Aptos"/>
          <w:b w:val="false"/>
          <w:bCs w:val="false"/>
          <w:i w:val="false"/>
          <w:iCs w:val="false"/>
          <w:color w:val="263238"/>
          <w:sz w:val="21"/>
          <w:szCs w:val="21"/>
        </w:rPr>
        <w:t xml:space="preserve">Executive • Claims • Payments • Customer &amp; Policy</w:t>
      </w:r>
    </w:p>
    <w:p>
      <w:pPr>
        <w:spacing w:after="120" w:before="0" w:line="276"/>
        <w:jc w:val="left"/>
      </w:pPr>
      <w:r>
        <w:rPr>
          <w:rFonts w:ascii="Aptos" w:cs="Aptos" w:eastAsia="Aptos" w:hAnsi="Aptos"/>
          <w:b/>
          <w:bCs/>
          <w:i w:val="false"/>
          <w:iCs w:val="false"/>
          <w:color w:val="1E7A78"/>
          <w:sz w:val="21"/>
          <w:szCs w:val="21"/>
        </w:rPr>
        <w:t xml:space="preserve">Security: </w:t>
      </w:r>
      <w:r>
        <w:rPr>
          <w:rFonts w:ascii="Aptos" w:cs="Aptos" w:eastAsia="Aptos" w:hAnsi="Aptos"/>
          <w:b w:val="false"/>
          <w:bCs w:val="false"/>
          <w:i w:val="false"/>
          <w:iCs w:val="false"/>
          <w:color w:val="263238"/>
          <w:sz w:val="21"/>
          <w:szCs w:val="21"/>
        </w:rPr>
        <w:t xml:space="preserve">dim_customer[state] = NY → relationship propagation → facts</w:t>
      </w:r>
    </w:p>
    <w:p>
      <w:pPr>
        <w:spacing w:after="120" w:before="0" w:line="276"/>
        <w:jc w:val="left"/>
      </w:pPr>
      <w:r>
        <w:rPr>
          <w:rFonts w:ascii="Aptos" w:cs="Aptos" w:eastAsia="Aptos" w:hAnsi="Aptos"/>
          <w:b/>
          <w:bCs/>
          <w:i w:val="false"/>
          <w:iCs w:val="false"/>
          <w:color w:val="1E7A78"/>
          <w:sz w:val="21"/>
          <w:szCs w:val="21"/>
        </w:rPr>
        <w:t xml:space="preserve">Incident: </w:t>
      </w:r>
      <w:r>
        <w:rPr>
          <w:rFonts w:ascii="Aptos" w:cs="Aptos" w:eastAsia="Aptos" w:hAnsi="Aptos"/>
          <w:b w:val="false"/>
          <w:bCs w:val="false"/>
          <w:i w:val="false"/>
          <w:iCs w:val="false"/>
          <w:color w:val="263238"/>
          <w:sz w:val="21"/>
          <w:szCs w:val="21"/>
        </w:rPr>
        <w:t xml:space="preserve">HTTP 430 → capacity → Livy startup → wait/reschedule → safe replay → prevention</w:t>
      </w:r>
    </w:p>
    <w:p>
      <w:pPr>
        <w:pStyle w:val="Heading1"/>
        <w:keepNext/>
        <w:spacing w:after="120" w:before="320"/>
      </w:pPr>
      <w:r>
        <w:t xml:space="preserve">Appendix B. Questions to Ask the Interviewer</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What freshness and reconciliation SLAs define success for this platform?</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Which source systems provide reliable change tracking or CDC?</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Which insurance date roles and status definitions govern executive KPIs?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How is Fabric capacity shared, monitored, and scaled across workloads?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What is the organization’s preferred pattern for dynamic RLS and identity entitlements?</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How are data-quality ownership and reject remediation assigned?</w:t>
      </w:r>
    </w:p>
    <w:p>
      <w:pPr>
        <w:pStyle w:val="ListParagraph"/>
        <w:numPr>
          <w:ilvl w:val="0"/>
          <w:numId w:val="2"/>
        </w:numPr>
        <w:spacing w:after="65" w:line="250"/>
      </w:pPr>
      <w:r>
        <w:rPr>
          <w:rFonts w:ascii="Aptos" w:cs="Aptos" w:eastAsia="Aptos" w:hAnsi="Aptos"/>
          <w:b w:val="false"/>
          <w:bCs w:val="false"/>
          <w:i w:val="false"/>
          <w:iCs w:val="false"/>
          <w:color w:val="263238"/>
          <w:sz w:val="21"/>
          <w:szCs w:val="21"/>
        </w:rPr>
        <w:t xml:space="preserve">Which deployment, lineage, and incident-management standards must the solution integrate with?</w:t>
      </w:r>
    </w:p>
    <w:sectPr>
      <w:headerReference w:type="default" r:id="rId7"/>
      <w:footerReference w:type="default" r:id="rId8"/>
      <w:pgSz w:w="12240" w:h="15840" w:orient="portrait"/>
      <w:pgMar w:top="90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val="false"/>
        <w:bCs w:val="false"/>
        <w:i w:val="false"/>
        <w:iCs w:val="false"/>
        <w:color w:val="5E6B73"/>
        <w:sz w:val="16"/>
        <w:szCs w:val="16"/>
      </w:rPr>
      <w:t xml:space="preserve">Insurance Medallion Platform  •  </w:t>
    </w:r>
    <w:r>
      <w:rPr>
        <w:rFonts w:ascii="Aptos" w:cs="Aptos" w:eastAsia="Aptos" w:hAnsi="Aptos"/>
        <w:color w:val="5E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8D0" w:sz="8" w:space="6"/>
      </w:pBdr>
      <w:spacing w:after="0" w:before="0" w:line="276"/>
      <w:jc w:val="right"/>
    </w:pPr>
    <w:r>
      <w:rPr>
        <w:rFonts w:ascii="Aptos" w:cs="Aptos" w:eastAsia="Aptos" w:hAnsi="Aptos"/>
        <w:b/>
        <w:bCs/>
        <w:i w:val="false"/>
        <w:iCs w:val="false"/>
        <w:color w:val="5E6B73"/>
        <w:sz w:val="16"/>
        <w:szCs w:val="16"/>
      </w:rPr>
      <w:t xml:space="preserve">MICROSOFT FABRIC  /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238"/>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ptos Display" w:cs="Aptos Display" w:eastAsia="Aptos Display" w:hAnsi="Aptos Display"/>
      <w:b/>
      <w:bCs/>
      <w:color w:val="16324F"/>
      <w:sz w:val="44"/>
      <w:szCs w:val="44"/>
    </w:rPr>
  </w:style>
  <w:style w:type="paragraph" w:styleId="Heading1">
    <w:name w:val="Heading 1"/>
    <w:basedOn w:val="Normal"/>
    <w:next w:val="Normal"/>
    <w:qFormat/>
    <w:pPr>
      <w:pBdr>
        <w:bottom w:val="single" w:color="C99732" w:sz="10" w:space="6"/>
      </w:pBdr>
      <w:spacing w:after="140" w:before="320"/>
      <w:outlineLvl w:val="0"/>
    </w:pPr>
    <w:rPr>
      <w:rFonts w:ascii="Aptos Display" w:cs="Aptos Display" w:eastAsia="Aptos Display" w:hAnsi="Aptos Display"/>
      <w:b/>
      <w:bCs/>
      <w:color w:val="16324F"/>
      <w:sz w:val="30"/>
      <w:szCs w:val="30"/>
    </w:rPr>
  </w:style>
  <w:style w:type="paragraph" w:styleId="Heading2">
    <w:name w:val="Heading 2"/>
    <w:basedOn w:val="Normal"/>
    <w:next w:val="Normal"/>
    <w:qFormat/>
    <w:pPr>
      <w:spacing w:after="100" w:before="260"/>
      <w:outlineLvl w:val="1"/>
    </w:pPr>
    <w:rPr>
      <w:rFonts w:ascii="Aptos Display" w:cs="Aptos Display" w:eastAsia="Aptos Display" w:hAnsi="Aptos Display"/>
      <w:b/>
      <w:bCs/>
      <w:color w:val="246B8E"/>
      <w:sz w:val="25"/>
      <w:szCs w:val="25"/>
    </w:rPr>
  </w:style>
  <w:style w:type="paragraph" w:styleId="Heading3">
    <w:name w:val="Heading 3"/>
    <w:basedOn w:val="Normal"/>
    <w:next w:val="Normal"/>
    <w:qFormat/>
    <w:pPr>
      <w:spacing w:after="70" w:before="180"/>
      <w:outlineLvl w:val="2"/>
    </w:pPr>
    <w:rPr>
      <w:rFonts w:ascii="Aptos" w:cs="Aptos" w:eastAsia="Aptos" w:hAnsi="Aptos"/>
      <w:b/>
      <w:bCs/>
      <w:color w:val="1E7A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Fabric Insurance Medallion Interview Guide</dc:title>
  <dc:creator>OpenAI Codex</dc:creator>
  <dc:description>Narrative interview preparation guide</dc:description>
  <cp:lastModifiedBy>Un-named</cp:lastModifiedBy>
  <cp:revision>1</cp:revision>
  <dcterms:created xsi:type="dcterms:W3CDTF">2026-08-24T21:02:36.351Z</dcterms:created>
  <dcterms:modified xsi:type="dcterms:W3CDTF">2026-08-24T21:02:36.352Z</dcterms:modified>
</cp:coreProperties>
</file>

<file path=docProps/custom.xml><?xml version="1.0" encoding="utf-8"?>
<Properties xmlns="http://schemas.openxmlformats.org/officeDocument/2006/custom-properties" xmlns:vt="http://schemas.openxmlformats.org/officeDocument/2006/docPropsVTypes"/>
</file>