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SOFTWARE TEST PLAN</w:t>
      </w:r>
    </w:p>
    <w:p>
      <w:pPr>
        <w:jc w:val="center"/>
      </w:pPr>
      <w:r>
        <w:rPr>
          <w:i/>
          <w:sz w:val="22"/>
        </w:rPr>
        <w:t>Traffic Management System (Simulation)</w:t>
      </w:r>
    </w:p>
    <w:p>
      <w:r>
        <w:t>Project: Traffic Management System (Simulation) | Version 1.0 | Date: 22 October 2026</w:t>
      </w:r>
    </w:p>
    <w:p>
      <w:r>
        <w:t>Document status: Draft for team review — validate against the final implementation before sign-off.</w:t>
      </w:r>
    </w:p>
    <w:p>
      <w:pPr>
        <w:pStyle w:val="Heading1"/>
      </w:pPr>
      <w:r>
        <w:t>Document Control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pPr>
              <w:spacing w:after="40"/>
            </w:pPr>
            <w:r>
              <w:rPr>
                <w:color w:val="FFFFFF"/>
              </w:rPr>
            </w:r>
            <w:r>
              <w:rPr>
                <w:rFonts w:ascii="Arial" w:hAnsi="Arial"/>
                <w:b/>
                <w:color w:val="FFFFFF"/>
                <w:sz w:val="16"/>
              </w:rPr>
              <w:t>Version</w:t>
            </w:r>
          </w:p>
        </w:tc>
        <w:tc>
          <w:tcPr>
            <w:tcW w:type="dxa" w:w="2045"/>
            <w:vAlign w:val="center"/>
            <w:shd w:fill="1F4E78"/>
          </w:tcPr>
          <w:p>
            <w:pPr>
              <w:spacing w:after="40"/>
            </w:pPr>
            <w:r>
              <w:rPr>
                <w:color w:val="FFFFFF"/>
              </w:rPr>
            </w:r>
            <w:r>
              <w:rPr>
                <w:rFonts w:ascii="Arial" w:hAnsi="Arial"/>
                <w:b/>
                <w:color w:val="FFFFFF"/>
                <w:sz w:val="16"/>
              </w:rPr>
              <w:t>Date</w:t>
            </w:r>
          </w:p>
        </w:tc>
        <w:tc>
          <w:tcPr>
            <w:tcW w:type="dxa" w:w="2045"/>
            <w:vAlign w:val="center"/>
            <w:shd w:fill="1F4E78"/>
          </w:tcPr>
          <w:p>
            <w:pPr>
              <w:spacing w:after="40"/>
            </w:pPr>
            <w:r>
              <w:rPr>
                <w:color w:val="FFFFFF"/>
              </w:rPr>
            </w:r>
            <w:r>
              <w:rPr>
                <w:rFonts w:ascii="Arial" w:hAnsi="Arial"/>
                <w:b/>
                <w:color w:val="FFFFFF"/>
                <w:sz w:val="16"/>
              </w:rPr>
              <w:t>Prepared by</w:t>
            </w:r>
          </w:p>
        </w:tc>
        <w:tc>
          <w:tcPr>
            <w:tcW w:type="dxa" w:w="2045"/>
            <w:vAlign w:val="center"/>
            <w:shd w:fill="1F4E78"/>
          </w:tcPr>
          <w:p>
            <w:pPr>
              <w:spacing w:after="40"/>
            </w:pPr>
            <w:r>
              <w:rPr>
                <w:color w:val="FFFFFF"/>
              </w:rPr>
            </w:r>
            <w:r>
              <w:rPr>
                <w:rFonts w:ascii="Arial" w:hAnsi="Arial"/>
                <w:b/>
                <w:color w:val="FFFFFF"/>
                <w:sz w:val="16"/>
              </w:rPr>
              <w:t>Change summary</w:t>
            </w:r>
          </w:p>
        </w:tc>
        <w:tc>
          <w:tcPr>
            <w:tcW w:type="dxa" w:w="2045"/>
            <w:vAlign w:val="center"/>
            <w:shd w:fill="1F4E78"/>
          </w:tcPr>
          <w:p>
            <w:pPr>
              <w:spacing w:after="40"/>
            </w:pPr>
            <w:r>
              <w:rPr>
                <w:color w:val="FFFFFF"/>
              </w:rPr>
            </w:r>
            <w:r>
              <w:rPr>
                <w:rFonts w:ascii="Arial" w:hAnsi="Arial"/>
                <w:b/>
                <w:color w:val="FFFFFF"/>
                <w:sz w:val="16"/>
              </w:rPr>
              <w:t>Approval</w:t>
            </w:r>
          </w:p>
        </w:tc>
      </w:tr>
      <w:tr>
        <w:tc>
          <w:tcPr>
            <w:tcW w:type="dxa" w:w="2045"/>
            <w:vAlign w:val="center"/>
          </w:tcPr>
          <w:p>
            <w:pPr>
              <w:spacing w:after="40"/>
            </w:pPr>
            <w:r/>
            <w:r>
              <w:rPr>
                <w:rFonts w:ascii="Arial" w:hAnsi="Arial"/>
                <w:b w:val="0"/>
                <w:sz w:val="16"/>
              </w:rPr>
              <w:t>1.0</w:t>
            </w:r>
          </w:p>
        </w:tc>
        <w:tc>
          <w:tcPr>
            <w:tcW w:type="dxa" w:w="2045"/>
            <w:vAlign w:val="center"/>
          </w:tcPr>
          <w:p>
            <w:pPr>
              <w:spacing w:after="40"/>
            </w:pPr>
            <w:r/>
            <w:r>
              <w:rPr>
                <w:rFonts w:ascii="Arial" w:hAnsi="Arial"/>
                <w:b w:val="0"/>
                <w:sz w:val="16"/>
              </w:rPr>
              <w:t>22-10-2026</w:t>
            </w:r>
          </w:p>
        </w:tc>
        <w:tc>
          <w:tcPr>
            <w:tcW w:type="dxa" w:w="2045"/>
            <w:vAlign w:val="center"/>
          </w:tcPr>
          <w:p>
            <w:pPr>
              <w:spacing w:after="40"/>
            </w:pPr>
            <w:r/>
            <w:r>
              <w:rPr>
                <w:rFonts w:ascii="Arial" w:hAnsi="Arial"/>
                <w:b w:val="0"/>
                <w:sz w:val="16"/>
              </w:rPr>
              <w:t>Vainik / project team</w:t>
            </w:r>
          </w:p>
        </w:tc>
        <w:tc>
          <w:tcPr>
            <w:tcW w:type="dxa" w:w="2045"/>
            <w:vAlign w:val="center"/>
          </w:tcPr>
          <w:p>
            <w:pPr>
              <w:spacing w:after="40"/>
            </w:pPr>
            <w:r/>
            <w:r>
              <w:rPr>
                <w:rFonts w:ascii="Arial" w:hAnsi="Arial"/>
                <w:b w:val="0"/>
                <w:sz w:val="16"/>
              </w:rPr>
              <w:t>Initial project-specific test plan</w:t>
            </w:r>
          </w:p>
        </w:tc>
        <w:tc>
          <w:tcPr>
            <w:tcW w:type="dxa" w:w="2045"/>
            <w:vAlign w:val="center"/>
          </w:tcPr>
          <w:p>
            <w:pPr>
              <w:spacing w:after="40"/>
            </w:pPr>
            <w:r/>
            <w:r>
              <w:rPr>
                <w:rFonts w:ascii="Arial" w:hAnsi="Arial"/>
                <w:b w:val="0"/>
                <w:sz w:val="16"/>
              </w:rPr>
              <w:t>Pending team/instructor review</w:t>
            </w:r>
          </w:p>
        </w:tc>
      </w:tr>
    </w:tbl>
    <w:p/>
    <w:p>
      <w:pPr>
        <w:pStyle w:val="Heading1"/>
      </w:pPr>
      <w:r>
        <w:t>1. Introduction</w:t>
      </w:r>
    </w:p>
    <w:p>
      <w:pPr>
        <w:pStyle w:val="Heading2"/>
      </w:pPr>
      <w:r>
        <w:t>1.1 Purpose</w:t>
      </w:r>
    </w:p>
    <w:p>
      <w:r>
        <w:t>This Software Test Plan defines the scope, strategy, environment, responsibilities, security validation, test cases, and traceability approach for the Traffic Management System (TMS) simulation. It is based on the supplied Traffic_Management_SRS v1.0.</w:t>
      </w:r>
    </w:p>
    <w:p>
      <w:pPr>
        <w:pStyle w:val="Heading2"/>
      </w:pPr>
      <w:r>
        <w:t>1.2 Scope</w:t>
      </w:r>
    </w:p>
    <w:p>
      <w:r>
        <w:t>Testing covers scenario configuration, vehicle generation and movement, queue and road capacity enforcement, signal phases, adaptive timing, emergency priority, routing, congestion detection, incident handling, metrics, text/CSV reporting, deterministic execution, input validation, and build quality. The system is a simulation; physical traffic-signal hardware, live GPS/CCTV, and real-world control are outside scope.</w:t>
      </w:r>
    </w:p>
    <w:p>
      <w:pPr>
        <w:pStyle w:val="Heading2"/>
      </w:pPr>
      <w:r>
        <w:t>1.3 References</w:t>
      </w:r>
    </w:p>
    <w:p>
      <w:pPr>
        <w:pStyle w:val="ListBullet"/>
      </w:pPr>
      <w:r>
        <w:t>Traffic_Management_SRS.docx, Version 1.0, dated 09-10-2026 (provided by the team).</w:t>
      </w:r>
    </w:p>
    <w:p>
      <w:pPr>
        <w:pStyle w:val="ListBullet"/>
      </w:pPr>
      <w:r>
        <w:t>Software Test Plan template provided for the Software Engineering project.</w:t>
      </w:r>
    </w:p>
    <w:p>
      <w:pPr>
        <w:pStyle w:val="ListBullet"/>
      </w:pPr>
      <w:r>
        <w:t>Project repository: https://github.com/Vijeth-Madhwaraj/Traffic-Management-System-Simulation-</w:t>
      </w:r>
    </w:p>
    <w:p>
      <w:pPr>
        <w:pStyle w:val="Heading2"/>
      </w:pPr>
      <w:r>
        <w:t>1.4 Definitions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40"/>
            </w:pPr>
            <w:r>
              <w:rPr>
                <w:color w:val="FFFFFF"/>
              </w:rPr>
            </w:r>
            <w:r>
              <w:rPr>
                <w:rFonts w:ascii="Arial" w:hAnsi="Arial"/>
                <w:b/>
                <w:color w:val="FFFFFF"/>
                <w:sz w:val="16"/>
              </w:rPr>
              <w:t>Term</w:t>
            </w:r>
          </w:p>
        </w:tc>
        <w:tc>
          <w:tcPr>
            <w:tcW w:type="dxa" w:w="5112"/>
            <w:vAlign w:val="center"/>
            <w:shd w:fill="1F4E78"/>
          </w:tcPr>
          <w:p>
            <w:pPr>
              <w:spacing w:after="40"/>
            </w:pPr>
            <w:r>
              <w:rPr>
                <w:color w:val="FFFFFF"/>
              </w:rPr>
            </w:r>
            <w:r>
              <w:rPr>
                <w:rFonts w:ascii="Arial" w:hAnsi="Arial"/>
                <w:b/>
                <w:color w:val="FFFFFF"/>
                <w:sz w:val="16"/>
              </w:rPr>
              <w:t>Definition</w:t>
            </w:r>
          </w:p>
        </w:tc>
      </w:tr>
      <w:tr>
        <w:tc>
          <w:tcPr>
            <w:tcW w:type="dxa" w:w="5112"/>
            <w:vAlign w:val="center"/>
          </w:tcPr>
          <w:p>
            <w:pPr>
              <w:spacing w:after="40"/>
            </w:pPr>
            <w:r/>
            <w:r>
              <w:rPr>
                <w:rFonts w:ascii="Arial" w:hAnsi="Arial"/>
                <w:b w:val="0"/>
                <w:sz w:val="16"/>
              </w:rPr>
              <w:t>SRS</w:t>
            </w:r>
          </w:p>
        </w:tc>
        <w:tc>
          <w:tcPr>
            <w:tcW w:type="dxa" w:w="5112"/>
            <w:vAlign w:val="center"/>
          </w:tcPr>
          <w:p>
            <w:pPr>
              <w:spacing w:after="40"/>
            </w:pPr>
            <w:r/>
            <w:r>
              <w:rPr>
                <w:rFonts w:ascii="Arial" w:hAnsi="Arial"/>
                <w:b w:val="0"/>
                <w:sz w:val="16"/>
              </w:rPr>
              <w:t>Software Requirements Specification.</w:t>
            </w:r>
          </w:p>
        </w:tc>
      </w:tr>
      <w:tr>
        <w:tc>
          <w:tcPr>
            <w:tcW w:type="dxa" w:w="5112"/>
            <w:vAlign w:val="center"/>
          </w:tcPr>
          <w:p>
            <w:pPr>
              <w:spacing w:after="40"/>
            </w:pPr>
            <w:r/>
            <w:r>
              <w:rPr>
                <w:rFonts w:ascii="Arial" w:hAnsi="Arial"/>
                <w:b w:val="0"/>
                <w:sz w:val="16"/>
              </w:rPr>
              <w:t>FR / NFR</w:t>
            </w:r>
          </w:p>
        </w:tc>
        <w:tc>
          <w:tcPr>
            <w:tcW w:type="dxa" w:w="5112"/>
            <w:vAlign w:val="center"/>
          </w:tcPr>
          <w:p>
            <w:pPr>
              <w:spacing w:after="40"/>
            </w:pPr>
            <w:r/>
            <w:r>
              <w:rPr>
                <w:rFonts w:ascii="Arial" w:hAnsi="Arial"/>
                <w:b w:val="0"/>
                <w:sz w:val="16"/>
              </w:rPr>
              <w:t>Functional / Non-functional requirement.</w:t>
            </w:r>
          </w:p>
        </w:tc>
      </w:tr>
      <w:tr>
        <w:tc>
          <w:tcPr>
            <w:tcW w:type="dxa" w:w="5112"/>
            <w:vAlign w:val="center"/>
          </w:tcPr>
          <w:p>
            <w:pPr>
              <w:spacing w:after="40"/>
            </w:pPr>
            <w:r/>
            <w:r>
              <w:rPr>
                <w:rFonts w:ascii="Arial" w:hAnsi="Arial"/>
                <w:b w:val="0"/>
                <w:sz w:val="16"/>
              </w:rPr>
              <w:t>RTM</w:t>
            </w:r>
          </w:p>
        </w:tc>
        <w:tc>
          <w:tcPr>
            <w:tcW w:type="dxa" w:w="5112"/>
            <w:vAlign w:val="center"/>
          </w:tcPr>
          <w:p>
            <w:pPr>
              <w:spacing w:after="40"/>
            </w:pPr>
            <w:r/>
            <w:r>
              <w:rPr>
                <w:rFonts w:ascii="Arial" w:hAnsi="Arial"/>
                <w:b w:val="0"/>
                <w:sz w:val="16"/>
              </w:rPr>
              <w:t>Requirements Traceability Matrix.</w:t>
            </w:r>
          </w:p>
        </w:tc>
      </w:tr>
      <w:tr>
        <w:tc>
          <w:tcPr>
            <w:tcW w:type="dxa" w:w="5112"/>
            <w:vAlign w:val="center"/>
          </w:tcPr>
          <w:p>
            <w:pPr>
              <w:spacing w:after="40"/>
            </w:pPr>
            <w:r/>
            <w:r>
              <w:rPr>
                <w:rFonts w:ascii="Arial" w:hAnsi="Arial"/>
                <w:b w:val="0"/>
                <w:sz w:val="16"/>
              </w:rPr>
              <w:t>Tick</w:t>
            </w:r>
          </w:p>
        </w:tc>
        <w:tc>
          <w:tcPr>
            <w:tcW w:type="dxa" w:w="5112"/>
            <w:vAlign w:val="center"/>
          </w:tcPr>
          <w:p>
            <w:pPr>
              <w:spacing w:after="40"/>
            </w:pPr>
            <w:r/>
            <w:r>
              <w:rPr>
                <w:rFonts w:ascii="Arial" w:hAnsi="Arial"/>
                <w:b w:val="0"/>
                <w:sz w:val="16"/>
              </w:rPr>
              <w:t>One discrete simulation-time step.</w:t>
            </w:r>
          </w:p>
        </w:tc>
      </w:tr>
      <w:tr>
        <w:tc>
          <w:tcPr>
            <w:tcW w:type="dxa" w:w="5112"/>
            <w:vAlign w:val="center"/>
          </w:tcPr>
          <w:p>
            <w:pPr>
              <w:spacing w:after="40"/>
            </w:pPr>
            <w:r/>
            <w:r>
              <w:rPr>
                <w:rFonts w:ascii="Arial" w:hAnsi="Arial"/>
                <w:b w:val="0"/>
                <w:sz w:val="16"/>
              </w:rPr>
              <w:t>RAII</w:t>
            </w:r>
          </w:p>
        </w:tc>
        <w:tc>
          <w:tcPr>
            <w:tcW w:type="dxa" w:w="5112"/>
            <w:vAlign w:val="center"/>
          </w:tcPr>
          <w:p>
            <w:pPr>
              <w:spacing w:after="40"/>
            </w:pPr>
            <w:r/>
            <w:r>
              <w:rPr>
                <w:rFonts w:ascii="Arial" w:hAnsi="Arial"/>
                <w:b w:val="0"/>
                <w:sz w:val="16"/>
              </w:rPr>
              <w:t>C++ resource management idiom tying resource lifetime to object lifetime.</w:t>
            </w:r>
          </w:p>
        </w:tc>
      </w:tr>
    </w:tbl>
    <w:p/>
    <w:p>
      <w:pPr>
        <w:pStyle w:val="Heading1"/>
      </w:pPr>
      <w:r>
        <w:t>2. Test Items</w:t>
      </w:r>
    </w:p>
    <w:p>
      <w:pPr>
        <w:pStyle w:val="ListBullet"/>
      </w:pPr>
      <w:r>
        <w:t>Scenario configuration and input validation module</w:t>
      </w:r>
    </w:p>
    <w:p>
      <w:pPr>
        <w:pStyle w:val="ListBullet"/>
      </w:pPr>
      <w:r>
        <w:t>Road-network and lane-capacity model</w:t>
      </w:r>
    </w:p>
    <w:p>
      <w:pPr>
        <w:pStyle w:val="ListBullet"/>
      </w:pPr>
      <w:r>
        <w:t>Vehicle generation, routing, queues, and movement</w:t>
      </w:r>
    </w:p>
    <w:p>
      <w:pPr>
        <w:pStyle w:val="ListBullet"/>
      </w:pPr>
      <w:r>
        <w:t>Traffic-signal controller, adaptive timing, emergency priority</w:t>
      </w:r>
    </w:p>
    <w:p>
      <w:pPr>
        <w:pStyle w:val="ListBullet"/>
      </w:pPr>
      <w:r>
        <w:t>Congestion detection and incident/traffic-management response</w:t>
      </w:r>
    </w:p>
    <w:p>
      <w:pPr>
        <w:pStyle w:val="ListBullet"/>
      </w:pPr>
      <w:r>
        <w:t>Metrics collector and text/CSV report generator</w:t>
      </w:r>
    </w:p>
    <w:p>
      <w:pPr>
        <w:pStyle w:val="ListBullet"/>
      </w:pPr>
      <w:r>
        <w:t>C++17/CMake build and deterministic test configuration</w:t>
      </w:r>
    </w:p>
    <w:p>
      <w:pPr>
        <w:pStyle w:val="Heading1"/>
      </w:pPr>
      <w:r>
        <w:t>3. Features to be Tested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40"/>
            </w:pPr>
            <w:r>
              <w:rPr>
                <w:color w:val="FFFFFF"/>
              </w:rPr>
            </w:r>
            <w:r>
              <w:rPr>
                <w:rFonts w:ascii="Arial" w:hAnsi="Arial"/>
                <w:b/>
                <w:color w:val="FFFFFF"/>
                <w:sz w:val="16"/>
              </w:rPr>
              <w:t>SRS ID</w:t>
            </w:r>
          </w:p>
        </w:tc>
        <w:tc>
          <w:tcPr>
            <w:tcW w:type="dxa" w:w="5112"/>
            <w:vAlign w:val="center"/>
            <w:shd w:fill="1F4E78"/>
          </w:tcPr>
          <w:p>
            <w:pPr>
              <w:spacing w:after="40"/>
            </w:pPr>
            <w:r>
              <w:rPr>
                <w:color w:val="FFFFFF"/>
              </w:rPr>
            </w:r>
            <w:r>
              <w:rPr>
                <w:rFonts w:ascii="Arial" w:hAnsi="Arial"/>
                <w:b/>
                <w:color w:val="FFFFFF"/>
                <w:sz w:val="16"/>
              </w:rPr>
              <w:t>Feature / acceptance focus</w:t>
            </w:r>
          </w:p>
        </w:tc>
      </w:tr>
      <w:tr>
        <w:tc>
          <w:tcPr>
            <w:tcW w:type="dxa" w:w="5112"/>
            <w:vAlign w:val="center"/>
          </w:tcPr>
          <w:p>
            <w:pPr>
              <w:spacing w:after="40"/>
            </w:pPr>
            <w:r/>
            <w:r>
              <w:rPr>
                <w:rFonts w:ascii="Arial" w:hAnsi="Arial"/>
                <w:b w:val="0"/>
                <w:sz w:val="16"/>
              </w:rPr>
              <w:t>FR-01</w:t>
            </w:r>
          </w:p>
        </w:tc>
        <w:tc>
          <w:tcPr>
            <w:tcW w:type="dxa" w:w="5112"/>
            <w:vAlign w:val="center"/>
          </w:tcPr>
          <w:p>
            <w:pPr>
              <w:spacing w:after="40"/>
            </w:pPr>
            <w:r/>
            <w:r>
              <w:rPr>
                <w:rFonts w:ascii="Arial" w:hAnsi="Arial"/>
                <w:b w:val="0"/>
                <w:sz w:val="16"/>
              </w:rPr>
              <w:t>Valid scenario loads; invalid configuration is rejected.</w:t>
            </w:r>
          </w:p>
        </w:tc>
      </w:tr>
      <w:tr>
        <w:tc>
          <w:tcPr>
            <w:tcW w:type="dxa" w:w="5112"/>
            <w:vAlign w:val="center"/>
          </w:tcPr>
          <w:p>
            <w:pPr>
              <w:spacing w:after="40"/>
            </w:pPr>
            <w:r/>
            <w:r>
              <w:rPr>
                <w:rFonts w:ascii="Arial" w:hAnsi="Arial"/>
                <w:b w:val="0"/>
                <w:sz w:val="16"/>
              </w:rPr>
              <w:t>FR-02–FR-04</w:t>
            </w:r>
          </w:p>
        </w:tc>
        <w:tc>
          <w:tcPr>
            <w:tcW w:type="dxa" w:w="5112"/>
            <w:vAlign w:val="center"/>
          </w:tcPr>
          <w:p>
            <w:pPr>
              <w:spacing w:after="40"/>
            </w:pPr>
            <w:r/>
            <w:r>
              <w:rPr>
                <w:rFonts w:ascii="Arial" w:hAnsi="Arial"/>
                <w:b w:val="0"/>
                <w:sz w:val="16"/>
              </w:rPr>
              <w:t>Vehicle generation, valid attributes, unique IDs, queue capacity.</w:t>
            </w:r>
          </w:p>
        </w:tc>
      </w:tr>
      <w:tr>
        <w:tc>
          <w:tcPr>
            <w:tcW w:type="dxa" w:w="5112"/>
            <w:vAlign w:val="center"/>
          </w:tcPr>
          <w:p>
            <w:pPr>
              <w:spacing w:after="40"/>
            </w:pPr>
            <w:r/>
            <w:r>
              <w:rPr>
                <w:rFonts w:ascii="Arial" w:hAnsi="Arial"/>
                <w:b w:val="0"/>
                <w:sz w:val="16"/>
              </w:rPr>
              <w:t>FR-05–FR-08</w:t>
            </w:r>
          </w:p>
        </w:tc>
        <w:tc>
          <w:tcPr>
            <w:tcW w:type="dxa" w:w="5112"/>
            <w:vAlign w:val="center"/>
          </w:tcPr>
          <w:p>
            <w:pPr>
              <w:spacing w:after="40"/>
            </w:pPr>
            <w:r/>
            <w:r>
              <w:rPr>
                <w:rFonts w:ascii="Arial" w:hAnsi="Arial"/>
                <w:b w:val="0"/>
                <w:sz w:val="16"/>
              </w:rPr>
              <w:t>Valid signal phases, safe transitions, adaptive limits, emergency priority.</w:t>
            </w:r>
          </w:p>
        </w:tc>
      </w:tr>
      <w:tr>
        <w:tc>
          <w:tcPr>
            <w:tcW w:type="dxa" w:w="5112"/>
            <w:vAlign w:val="center"/>
          </w:tcPr>
          <w:p>
            <w:pPr>
              <w:spacing w:after="40"/>
            </w:pPr>
            <w:r/>
            <w:r>
              <w:rPr>
                <w:rFonts w:ascii="Arial" w:hAnsi="Arial"/>
                <w:b w:val="0"/>
                <w:sz w:val="16"/>
              </w:rPr>
              <w:t>FR-09–FR-12</w:t>
            </w:r>
          </w:p>
        </w:tc>
        <w:tc>
          <w:tcPr>
            <w:tcW w:type="dxa" w:w="5112"/>
            <w:vAlign w:val="center"/>
          </w:tcPr>
          <w:p>
            <w:pPr>
              <w:spacing w:after="40"/>
            </w:pPr>
            <w:r/>
            <w:r>
              <w:rPr>
                <w:rFonts w:ascii="Arial" w:hAnsi="Arial"/>
                <w:b w:val="0"/>
                <w:sz w:val="16"/>
              </w:rPr>
              <w:t>Connected road network, safe movement, downstream capacity, route cost.</w:t>
            </w:r>
          </w:p>
        </w:tc>
      </w:tr>
      <w:tr>
        <w:tc>
          <w:tcPr>
            <w:tcW w:type="dxa" w:w="5112"/>
            <w:vAlign w:val="center"/>
          </w:tcPr>
          <w:p>
            <w:pPr>
              <w:spacing w:after="40"/>
            </w:pPr>
            <w:r/>
            <w:r>
              <w:rPr>
                <w:rFonts w:ascii="Arial" w:hAnsi="Arial"/>
                <w:b w:val="0"/>
                <w:sz w:val="16"/>
              </w:rPr>
              <w:t>FR-13</w:t>
            </w:r>
          </w:p>
        </w:tc>
        <w:tc>
          <w:tcPr>
            <w:tcW w:type="dxa" w:w="5112"/>
            <w:vAlign w:val="center"/>
          </w:tcPr>
          <w:p>
            <w:pPr>
              <w:spacing w:after="40"/>
            </w:pPr>
            <w:r/>
            <w:r>
              <w:rPr>
                <w:rFonts w:ascii="Arial" w:hAnsi="Arial"/>
                <w:b w:val="0"/>
                <w:sz w:val="16"/>
              </w:rPr>
              <w:t>Congestion detected at configured queue/occupancy threshold.</w:t>
            </w:r>
          </w:p>
        </w:tc>
      </w:tr>
      <w:tr>
        <w:tc>
          <w:tcPr>
            <w:tcW w:type="dxa" w:w="5112"/>
            <w:vAlign w:val="center"/>
          </w:tcPr>
          <w:p>
            <w:pPr>
              <w:spacing w:after="40"/>
            </w:pPr>
            <w:r/>
            <w:r>
              <w:rPr>
                <w:rFonts w:ascii="Arial" w:hAnsi="Arial"/>
                <w:b w:val="0"/>
                <w:sz w:val="16"/>
              </w:rPr>
              <w:t>FR-14–FR-15</w:t>
            </w:r>
          </w:p>
        </w:tc>
        <w:tc>
          <w:tcPr>
            <w:tcW w:type="dxa" w:w="5112"/>
            <w:vAlign w:val="center"/>
          </w:tcPr>
          <w:p>
            <w:pPr>
              <w:spacing w:after="40"/>
            </w:pPr>
            <w:r/>
            <w:r>
              <w:rPr>
                <w:rFonts w:ascii="Arial" w:hAnsi="Arial"/>
                <w:b w:val="0"/>
                <w:sz w:val="16"/>
              </w:rPr>
              <w:t>Incident state blocks affected segment; rerouting/no-route handled safely.</w:t>
            </w:r>
          </w:p>
        </w:tc>
      </w:tr>
      <w:tr>
        <w:tc>
          <w:tcPr>
            <w:tcW w:type="dxa" w:w="5112"/>
            <w:vAlign w:val="center"/>
          </w:tcPr>
          <w:p>
            <w:pPr>
              <w:spacing w:after="40"/>
            </w:pPr>
            <w:r/>
            <w:r>
              <w:rPr>
                <w:rFonts w:ascii="Arial" w:hAnsi="Arial"/>
                <w:b w:val="0"/>
                <w:sz w:val="16"/>
              </w:rPr>
              <w:t>FR-16–FR-17</w:t>
            </w:r>
          </w:p>
        </w:tc>
        <w:tc>
          <w:tcPr>
            <w:tcW w:type="dxa" w:w="5112"/>
            <w:vAlign w:val="center"/>
          </w:tcPr>
          <w:p>
            <w:pPr>
              <w:spacing w:after="40"/>
            </w:pPr>
            <w:r/>
            <w:r>
              <w:rPr>
                <w:rFonts w:ascii="Arial" w:hAnsi="Arial"/>
                <w:b w:val="0"/>
                <w:sz w:val="16"/>
              </w:rPr>
              <w:t>Metrics are consistent with events; report contains required values.</w:t>
            </w:r>
          </w:p>
        </w:tc>
      </w:tr>
      <w:tr>
        <w:tc>
          <w:tcPr>
            <w:tcW w:type="dxa" w:w="5112"/>
            <w:vAlign w:val="center"/>
          </w:tcPr>
          <w:p>
            <w:pPr>
              <w:spacing w:after="40"/>
            </w:pPr>
            <w:r/>
            <w:r>
              <w:rPr>
                <w:rFonts w:ascii="Arial" w:hAnsi="Arial"/>
                <w:b w:val="0"/>
                <w:sz w:val="16"/>
              </w:rPr>
              <w:t>FR-18 / NFR-10</w:t>
            </w:r>
          </w:p>
        </w:tc>
        <w:tc>
          <w:tcPr>
            <w:tcW w:type="dxa" w:w="5112"/>
            <w:vAlign w:val="center"/>
          </w:tcPr>
          <w:p>
            <w:pPr>
              <w:spacing w:after="40"/>
            </w:pPr>
            <w:r/>
            <w:r>
              <w:rPr>
                <w:rFonts w:ascii="Arial" w:hAnsi="Arial"/>
                <w:b w:val="0"/>
                <w:sz w:val="16"/>
              </w:rPr>
              <w:t>Same seed and configuration produce equivalent results.</w:t>
            </w:r>
          </w:p>
        </w:tc>
      </w:tr>
      <w:tr>
        <w:tc>
          <w:tcPr>
            <w:tcW w:type="dxa" w:w="5112"/>
            <w:vAlign w:val="center"/>
          </w:tcPr>
          <w:p>
            <w:pPr>
              <w:spacing w:after="40"/>
            </w:pPr>
            <w:r/>
            <w:r>
              <w:rPr>
                <w:rFonts w:ascii="Arial" w:hAnsi="Arial"/>
                <w:b w:val="0"/>
                <w:sz w:val="16"/>
              </w:rPr>
              <w:t>NFR-01–NFR-02</w:t>
            </w:r>
          </w:p>
        </w:tc>
        <w:tc>
          <w:tcPr>
            <w:tcW w:type="dxa" w:w="5112"/>
            <w:vAlign w:val="center"/>
          </w:tcPr>
          <w:p>
            <w:pPr>
              <w:spacing w:after="40"/>
            </w:pPr>
            <w:r/>
            <w:r>
              <w:rPr>
                <w:rFonts w:ascii="Arial" w:hAnsi="Arial"/>
                <w:b w:val="0"/>
                <w:sz w:val="16"/>
              </w:rPr>
              <w:t>Clear module interfaces and independently testable deterministic methods.</w:t>
            </w:r>
          </w:p>
        </w:tc>
      </w:tr>
      <w:tr>
        <w:tc>
          <w:tcPr>
            <w:tcW w:type="dxa" w:w="5112"/>
            <w:vAlign w:val="center"/>
          </w:tcPr>
          <w:p>
            <w:pPr>
              <w:spacing w:after="40"/>
            </w:pPr>
            <w:r/>
            <w:r>
              <w:rPr>
                <w:rFonts w:ascii="Arial" w:hAnsi="Arial"/>
                <w:b w:val="0"/>
                <w:sz w:val="16"/>
              </w:rPr>
              <w:t>NFR-03</w:t>
            </w:r>
          </w:p>
        </w:tc>
        <w:tc>
          <w:tcPr>
            <w:tcW w:type="dxa" w:w="5112"/>
            <w:vAlign w:val="center"/>
          </w:tcPr>
          <w:p>
            <w:pPr>
              <w:spacing w:after="40"/>
            </w:pPr>
            <w:r/>
            <w:r>
              <w:rPr>
                <w:rFonts w:ascii="Arial" w:hAnsi="Arial"/>
                <w:b w:val="0"/>
                <w:sz w:val="16"/>
              </w:rPr>
              <w:t>Benchmark: at least 4 intersections and 500 vehicles.</w:t>
            </w:r>
          </w:p>
        </w:tc>
      </w:tr>
      <w:tr>
        <w:tc>
          <w:tcPr>
            <w:tcW w:type="dxa" w:w="5112"/>
            <w:vAlign w:val="center"/>
          </w:tcPr>
          <w:p>
            <w:pPr>
              <w:spacing w:after="40"/>
            </w:pPr>
            <w:r/>
            <w:r>
              <w:rPr>
                <w:rFonts w:ascii="Arial" w:hAnsi="Arial"/>
                <w:b w:val="0"/>
                <w:sz w:val="16"/>
              </w:rPr>
              <w:t>NFR-04 / NFR-07</w:t>
            </w:r>
          </w:p>
        </w:tc>
        <w:tc>
          <w:tcPr>
            <w:tcW w:type="dxa" w:w="5112"/>
            <w:vAlign w:val="center"/>
          </w:tcPr>
          <w:p>
            <w:pPr>
              <w:spacing w:after="40"/>
            </w:pPr>
            <w:r/>
            <w:r>
              <w:rPr>
                <w:rFonts w:ascii="Arial" w:hAnsi="Arial"/>
                <w:b w:val="0"/>
                <w:sz w:val="16"/>
              </w:rPr>
              <w:t>Invalid values rejected without crash; safe input handling and resource management.</w:t>
            </w:r>
          </w:p>
        </w:tc>
      </w:tr>
      <w:tr>
        <w:tc>
          <w:tcPr>
            <w:tcW w:type="dxa" w:w="5112"/>
            <w:vAlign w:val="center"/>
          </w:tcPr>
          <w:p>
            <w:pPr>
              <w:spacing w:after="40"/>
            </w:pPr>
            <w:r/>
            <w:r>
              <w:rPr>
                <w:rFonts w:ascii="Arial" w:hAnsi="Arial"/>
                <w:b w:val="0"/>
                <w:sz w:val="16"/>
              </w:rPr>
              <w:t>NFR-05–NFR-06 / NFR-09</w:t>
            </w:r>
          </w:p>
        </w:tc>
        <w:tc>
          <w:tcPr>
            <w:tcW w:type="dxa" w:w="5112"/>
            <w:vAlign w:val="center"/>
          </w:tcPr>
          <w:p>
            <w:pPr>
              <w:spacing w:after="40"/>
            </w:pPr>
            <w:r/>
            <w:r>
              <w:rPr>
                <w:rFonts w:ascii="Arial" w:hAnsi="Arial"/>
                <w:b w:val="0"/>
                <w:sz w:val="16"/>
              </w:rPr>
              <w:t>C++17/CMake Linux build, readable output, warnings/static analysis.</w:t>
            </w:r>
          </w:p>
        </w:tc>
      </w:tr>
      <w:tr>
        <w:tc>
          <w:tcPr>
            <w:tcW w:type="dxa" w:w="5112"/>
            <w:vAlign w:val="center"/>
          </w:tcPr>
          <w:p>
            <w:pPr>
              <w:spacing w:after="40"/>
            </w:pPr>
            <w:r/>
            <w:r>
              <w:rPr>
                <w:rFonts w:ascii="Arial" w:hAnsi="Arial"/>
                <w:b w:val="0"/>
                <w:sz w:val="16"/>
              </w:rPr>
              <w:t>NFR-08</w:t>
            </w:r>
          </w:p>
        </w:tc>
        <w:tc>
          <w:tcPr>
            <w:tcW w:type="dxa" w:w="5112"/>
            <w:vAlign w:val="center"/>
          </w:tcPr>
          <w:p>
            <w:pPr>
              <w:spacing w:after="40"/>
            </w:pPr>
            <w:r/>
            <w:r>
              <w:rPr>
                <w:rFonts w:ascii="Arial" w:hAnsi="Arial"/>
                <w:b w:val="0"/>
                <w:sz w:val="16"/>
              </w:rPr>
              <w:t>Requirements map to implementation references and test IDs.</w:t>
            </w:r>
          </w:p>
        </w:tc>
      </w:tr>
    </w:tbl>
    <w:p/>
    <w:p>
      <w:pPr>
        <w:pStyle w:val="Heading1"/>
      </w:pPr>
      <w:r>
        <w:t>4. Features Not to be Tested</w:t>
      </w:r>
    </w:p>
    <w:p>
      <w:pPr>
        <w:pStyle w:val="ListBullet"/>
      </w:pPr>
      <w:r>
        <w:t>Physical traffic-light hardware, live traffic infrastructure, GPS/CCTV integration, and real vehicle control (explicitly outside SRS scope).</w:t>
      </w:r>
    </w:p>
    <w:p>
      <w:pPr>
        <w:pStyle w:val="ListBullet"/>
      </w:pPr>
      <w:r>
        <w:t>Machine-learning-based traffic prediction and detailed vehicle physics (outside SRS scope).</w:t>
      </w:r>
    </w:p>
    <w:p>
      <w:pPr>
        <w:pStyle w:val="ListBullet"/>
      </w:pPr>
      <w:r>
        <w:t>Performance claims on unspecified hardware; benchmark results must be measured on the actual test environment.</w:t>
      </w:r>
    </w:p>
    <w:p>
      <w:pPr>
        <w:pStyle w:val="Heading1"/>
      </w:pPr>
      <w:r>
        <w:t>5. Test Approach / Strategy</w:t>
      </w:r>
    </w:p>
    <w:p>
      <w:pPr>
        <w:pStyle w:val="Heading2"/>
      </w:pPr>
      <w:r>
        <w:t>5.1 Test levels and types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40"/>
            </w:pPr>
            <w:r>
              <w:rPr>
                <w:color w:val="FFFFFF"/>
              </w:rPr>
            </w:r>
            <w:r>
              <w:rPr>
                <w:rFonts w:ascii="Arial" w:hAnsi="Arial"/>
                <w:b/>
                <w:color w:val="FFFFFF"/>
                <w:sz w:val="16"/>
              </w:rPr>
              <w:t>Level / type</w:t>
            </w:r>
          </w:p>
        </w:tc>
        <w:tc>
          <w:tcPr>
            <w:tcW w:type="dxa" w:w="5112"/>
            <w:vAlign w:val="center"/>
            <w:shd w:fill="1F4E78"/>
          </w:tcPr>
          <w:p>
            <w:pPr>
              <w:spacing w:after="40"/>
            </w:pPr>
            <w:r>
              <w:rPr>
                <w:color w:val="FFFFFF"/>
              </w:rPr>
            </w:r>
            <w:r>
              <w:rPr>
                <w:rFonts w:ascii="Arial" w:hAnsi="Arial"/>
                <w:b/>
                <w:color w:val="FFFFFF"/>
                <w:sz w:val="16"/>
              </w:rPr>
              <w:t>Approach</w:t>
            </w:r>
          </w:p>
        </w:tc>
      </w:tr>
      <w:tr>
        <w:tc>
          <w:tcPr>
            <w:tcW w:type="dxa" w:w="5112"/>
            <w:vAlign w:val="center"/>
          </w:tcPr>
          <w:p>
            <w:pPr>
              <w:spacing w:after="40"/>
            </w:pPr>
            <w:r/>
            <w:r>
              <w:rPr>
                <w:rFonts w:ascii="Arial" w:hAnsi="Arial"/>
                <w:b w:val="0"/>
                <w:sz w:val="16"/>
              </w:rPr>
              <w:t>Unit testing</w:t>
            </w:r>
          </w:p>
        </w:tc>
        <w:tc>
          <w:tcPr>
            <w:tcW w:type="dxa" w:w="5112"/>
            <w:vAlign w:val="center"/>
          </w:tcPr>
          <w:p>
            <w:pPr>
              <w:spacing w:after="40"/>
            </w:pPr>
            <w:r/>
            <w:r>
              <w:rPr>
                <w:rFonts w:ascii="Arial" w:hAnsi="Arial"/>
                <w:b w:val="0"/>
                <w:sz w:val="16"/>
              </w:rPr>
              <w:t>Test validation, routing, congestion threshold, capacity checks, signal timing, and metrics independently with deterministic inputs.</w:t>
            </w:r>
          </w:p>
        </w:tc>
      </w:tr>
      <w:tr>
        <w:tc>
          <w:tcPr>
            <w:tcW w:type="dxa" w:w="5112"/>
            <w:vAlign w:val="center"/>
          </w:tcPr>
          <w:p>
            <w:pPr>
              <w:spacing w:after="40"/>
            </w:pPr>
            <w:r/>
            <w:r>
              <w:rPr>
                <w:rFonts w:ascii="Arial" w:hAnsi="Arial"/>
                <w:b w:val="0"/>
                <w:sz w:val="16"/>
              </w:rPr>
              <w:t>Integration testing</w:t>
            </w:r>
          </w:p>
        </w:tc>
        <w:tc>
          <w:tcPr>
            <w:tcW w:type="dxa" w:w="5112"/>
            <w:vAlign w:val="center"/>
          </w:tcPr>
          <w:p>
            <w:pPr>
              <w:spacing w:after="40"/>
            </w:pPr>
            <w:r/>
            <w:r>
              <w:rPr>
                <w:rFonts w:ascii="Arial" w:hAnsi="Arial"/>
                <w:b w:val="0"/>
                <w:sz w:val="16"/>
              </w:rPr>
              <w:t>Verify controller, road network, vehicle/queue manager, signal control, traffic management, and reporter exchange consistent data.</w:t>
            </w:r>
          </w:p>
        </w:tc>
      </w:tr>
      <w:tr>
        <w:tc>
          <w:tcPr>
            <w:tcW w:type="dxa" w:w="5112"/>
            <w:vAlign w:val="center"/>
          </w:tcPr>
          <w:p>
            <w:pPr>
              <w:spacing w:after="40"/>
            </w:pPr>
            <w:r/>
            <w:r>
              <w:rPr>
                <w:rFonts w:ascii="Arial" w:hAnsi="Arial"/>
                <w:b w:val="0"/>
                <w:sz w:val="16"/>
              </w:rPr>
              <w:t>System testing</w:t>
            </w:r>
          </w:p>
        </w:tc>
        <w:tc>
          <w:tcPr>
            <w:tcW w:type="dxa" w:w="5112"/>
            <w:vAlign w:val="center"/>
          </w:tcPr>
          <w:p>
            <w:pPr>
              <w:spacing w:after="40"/>
            </w:pPr>
            <w:r/>
            <w:r>
              <w:rPr>
                <w:rFonts w:ascii="Arial" w:hAnsi="Arial"/>
                <w:b w:val="0"/>
                <w:sz w:val="16"/>
              </w:rPr>
              <w:t>Run end-to-end scenarios including normal traffic, congestion, incidents, rerouting, and report export.</w:t>
            </w:r>
          </w:p>
        </w:tc>
      </w:tr>
      <w:tr>
        <w:tc>
          <w:tcPr>
            <w:tcW w:type="dxa" w:w="5112"/>
            <w:vAlign w:val="center"/>
          </w:tcPr>
          <w:p>
            <w:pPr>
              <w:spacing w:after="40"/>
            </w:pPr>
            <w:r/>
            <w:r>
              <w:rPr>
                <w:rFonts w:ascii="Arial" w:hAnsi="Arial"/>
                <w:b w:val="0"/>
                <w:sz w:val="16"/>
              </w:rPr>
              <w:t>Acceptance testing</w:t>
            </w:r>
          </w:p>
        </w:tc>
        <w:tc>
          <w:tcPr>
            <w:tcW w:type="dxa" w:w="5112"/>
            <w:vAlign w:val="center"/>
          </w:tcPr>
          <w:p>
            <w:pPr>
              <w:spacing w:after="40"/>
            </w:pPr>
            <w:r/>
            <w:r>
              <w:rPr>
                <w:rFonts w:ascii="Arial" w:hAnsi="Arial"/>
                <w:b w:val="0"/>
                <w:sz w:val="16"/>
              </w:rPr>
              <w:t>Check the SRS acceptance suites and exit criteria with team/evaluator.</w:t>
            </w:r>
          </w:p>
        </w:tc>
      </w:tr>
      <w:tr>
        <w:tc>
          <w:tcPr>
            <w:tcW w:type="dxa" w:w="5112"/>
            <w:vAlign w:val="center"/>
          </w:tcPr>
          <w:p>
            <w:pPr>
              <w:spacing w:after="40"/>
            </w:pPr>
            <w:r/>
            <w:r>
              <w:rPr>
                <w:rFonts w:ascii="Arial" w:hAnsi="Arial"/>
                <w:b w:val="0"/>
                <w:sz w:val="16"/>
              </w:rPr>
              <w:t>Functional / regression</w:t>
            </w:r>
          </w:p>
        </w:tc>
        <w:tc>
          <w:tcPr>
            <w:tcW w:type="dxa" w:w="5112"/>
            <w:vAlign w:val="center"/>
          </w:tcPr>
          <w:p>
            <w:pPr>
              <w:spacing w:after="40"/>
            </w:pPr>
            <w:r/>
            <w:r>
              <w:rPr>
                <w:rFonts w:ascii="Arial" w:hAnsi="Arial"/>
                <w:b w:val="0"/>
                <w:sz w:val="16"/>
              </w:rPr>
              <w:t>Run expected and invalid-input cases after changes; preserve previously passing behavior.</w:t>
            </w:r>
          </w:p>
        </w:tc>
      </w:tr>
      <w:tr>
        <w:tc>
          <w:tcPr>
            <w:tcW w:type="dxa" w:w="5112"/>
            <w:vAlign w:val="center"/>
          </w:tcPr>
          <w:p>
            <w:pPr>
              <w:spacing w:after="40"/>
            </w:pPr>
            <w:r/>
            <w:r>
              <w:rPr>
                <w:rFonts w:ascii="Arial" w:hAnsi="Arial"/>
                <w:b w:val="0"/>
                <w:sz w:val="16"/>
              </w:rPr>
              <w:t>Non-functional</w:t>
            </w:r>
          </w:p>
        </w:tc>
        <w:tc>
          <w:tcPr>
            <w:tcW w:type="dxa" w:w="5112"/>
            <w:vAlign w:val="center"/>
          </w:tcPr>
          <w:p>
            <w:pPr>
              <w:spacing w:after="40"/>
            </w:pPr>
            <w:r/>
            <w:r>
              <w:rPr>
                <w:rFonts w:ascii="Arial" w:hAnsi="Arial"/>
                <w:b w:val="0"/>
                <w:sz w:val="16"/>
              </w:rPr>
              <w:t>Measure runtime for the benchmark, build portability, usability of console output, reproducibility, and code-quality checks.</w:t>
            </w:r>
          </w:p>
        </w:tc>
      </w:tr>
    </w:tbl>
    <w:p/>
    <w:p>
      <w:pPr>
        <w:pStyle w:val="Heading2"/>
      </w:pPr>
      <w:r>
        <w:t>5.2 Entry criteria</w:t>
      </w:r>
    </w:p>
    <w:p>
      <w:pPr>
        <w:pStyle w:val="ListBullet"/>
      </w:pPr>
      <w:r>
        <w:t>A build of the current project is available and its build/run instructions are known.</w:t>
      </w:r>
    </w:p>
    <w:p>
      <w:pPr>
        <w:pStyle w:val="ListBullet"/>
      </w:pPr>
      <w:r>
        <w:t>Test scenario/configuration data and expected outputs are agreed by the team.</w:t>
      </w:r>
    </w:p>
    <w:p>
      <w:pPr>
        <w:pStyle w:val="ListBullet"/>
      </w:pPr>
      <w:r>
        <w:t>C++17 compiler and CMake environment are installed; test logs can be saved.</w:t>
      </w:r>
    </w:p>
    <w:p>
      <w:pPr>
        <w:pStyle w:val="Heading2"/>
      </w:pPr>
      <w:r>
        <w:t>5.3 Exit criteria</w:t>
      </w:r>
    </w:p>
    <w:p>
      <w:pPr>
        <w:pStyle w:val="ListBullet"/>
      </w:pPr>
      <w:r>
        <w:t>All planned cases are executed and results recorded as Pass/Fail/Blocked.</w:t>
      </w:r>
    </w:p>
    <w:p>
      <w:pPr>
        <w:pStyle w:val="ListBullet"/>
      </w:pPr>
      <w:r>
        <w:t>No unresolved critical defect affects signal safety, road capacity, crash prevention, or data integrity.</w:t>
      </w:r>
    </w:p>
    <w:p>
      <w:pPr>
        <w:pStyle w:val="ListBullet"/>
      </w:pPr>
      <w:r>
        <w:t>High-priority SRS requirements have passing evidence or documented open issues.</w:t>
      </w:r>
    </w:p>
    <w:p>
      <w:pPr>
        <w:pStyle w:val="ListBullet"/>
      </w:pPr>
      <w:r>
        <w:t>The 4-intersection/500-vehicle benchmark and same-seed reproducibility check are recorded.</w:t>
      </w:r>
    </w:p>
    <w:p>
      <w:pPr>
        <w:pStyle w:val="Heading2"/>
      </w:pPr>
      <w:r>
        <w:t>5.1 Security Validation</w:t>
      </w:r>
    </w:p>
    <w:p>
      <w:r>
        <w:t>Security validation is proportionate to a local C++ simulation and NFR-07. The application does not process authentication credentials or network traffic in the supplied SRS; therefore, TLS, PCI-DSS, and web penetration testing are not applicable unless the implementation adds those interfaces.</w:t>
      </w:r>
    </w:p>
    <w:p>
      <w:pPr>
        <w:pStyle w:val="ListBullet"/>
      </w:pPr>
      <w:r>
        <w:t>Validate all scenario/menu/file inputs: reject negative capacities, invalid timing bounds, malformed values, unknown node/road IDs, and impossible references.</w:t>
      </w:r>
    </w:p>
    <w:p>
      <w:pPr>
        <w:pStyle w:val="ListBullet"/>
      </w:pPr>
      <w:r>
        <w:t>Test malformed and unusually long input strings; ensure clean error messages and no crash, out-of-bounds access, or undefined behavior.</w:t>
      </w:r>
    </w:p>
    <w:p>
      <w:pPr>
        <w:pStyle w:val="ListBullet"/>
      </w:pPr>
      <w:r>
        <w:t>Verify file paths and report-write failures are handled safely; do not overwrite unintended files without an explicit design decision.</w:t>
      </w:r>
    </w:p>
    <w:p>
      <w:pPr>
        <w:pStyle w:val="ListBullet"/>
      </w:pPr>
      <w:r>
        <w:t>Inspect C++ resource ownership for RAII and ensure exceptions/errors do not leave inconsistent simulation state.</w:t>
      </w:r>
    </w:p>
    <w:p>
      <w:pPr>
        <w:pStyle w:val="ListBullet"/>
      </w:pPr>
      <w:r>
        <w:t>Build/run with compiler warnings enabled; where available, run address/undefined-behavior sanitizers and static analysis.</w:t>
      </w:r>
    </w:p>
    <w:p>
      <w:pPr>
        <w:pStyle w:val="ListBullet"/>
      </w:pPr>
      <w:r>
        <w:t>Confirm diagnostic logs contain useful error context without dumping unnecessary configuration contents or sensitive local paths.</w:t>
      </w:r>
    </w:p>
    <w:p>
      <w:pPr>
        <w:pStyle w:val="Heading1"/>
      </w:pPr>
      <w:r>
        <w:t>6. Test Environment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40"/>
            </w:pPr>
            <w:r>
              <w:rPr>
                <w:color w:val="FFFFFF"/>
              </w:rPr>
            </w:r>
            <w:r>
              <w:rPr>
                <w:rFonts w:ascii="Arial" w:hAnsi="Arial"/>
                <w:b/>
                <w:color w:val="FFFFFF"/>
                <w:sz w:val="16"/>
              </w:rPr>
              <w:t>Item</w:t>
            </w:r>
          </w:p>
        </w:tc>
        <w:tc>
          <w:tcPr>
            <w:tcW w:type="dxa" w:w="5112"/>
            <w:vAlign w:val="center"/>
            <w:shd w:fill="1F4E78"/>
          </w:tcPr>
          <w:p>
            <w:pPr>
              <w:spacing w:after="40"/>
            </w:pPr>
            <w:r>
              <w:rPr>
                <w:color w:val="FFFFFF"/>
              </w:rPr>
            </w:r>
            <w:r>
              <w:rPr>
                <w:rFonts w:ascii="Arial" w:hAnsi="Arial"/>
                <w:b/>
                <w:color w:val="FFFFFF"/>
                <w:sz w:val="16"/>
              </w:rPr>
              <w:t>Specification</w:t>
            </w:r>
          </w:p>
        </w:tc>
      </w:tr>
      <w:tr>
        <w:tc>
          <w:tcPr>
            <w:tcW w:type="dxa" w:w="5112"/>
            <w:vAlign w:val="center"/>
          </w:tcPr>
          <w:p>
            <w:pPr>
              <w:spacing w:after="40"/>
            </w:pPr>
            <w:r/>
            <w:r>
              <w:rPr>
                <w:rFonts w:ascii="Arial" w:hAnsi="Arial"/>
                <w:b w:val="0"/>
                <w:sz w:val="16"/>
              </w:rPr>
              <w:t>Operating system</w:t>
            </w:r>
          </w:p>
        </w:tc>
        <w:tc>
          <w:tcPr>
            <w:tcW w:type="dxa" w:w="5112"/>
            <w:vAlign w:val="center"/>
          </w:tcPr>
          <w:p>
            <w:pPr>
              <w:spacing w:after="40"/>
            </w:pPr>
            <w:r/>
            <w:r>
              <w:rPr>
                <w:rFonts w:ascii="Arial" w:hAnsi="Arial"/>
                <w:b w:val="0"/>
                <w:sz w:val="16"/>
              </w:rPr>
              <w:t>Linux as specified by SRS; a Windows-based development machine may be used for preliminary checks, with Linux build evidence captured separately.</w:t>
            </w:r>
          </w:p>
        </w:tc>
      </w:tr>
      <w:tr>
        <w:tc>
          <w:tcPr>
            <w:tcW w:type="dxa" w:w="5112"/>
            <w:vAlign w:val="center"/>
          </w:tcPr>
          <w:p>
            <w:pPr>
              <w:spacing w:after="40"/>
            </w:pPr>
            <w:r/>
            <w:r>
              <w:rPr>
                <w:rFonts w:ascii="Arial" w:hAnsi="Arial"/>
                <w:b w:val="0"/>
                <w:sz w:val="16"/>
              </w:rPr>
              <w:t>Compiler/build</w:t>
            </w:r>
          </w:p>
        </w:tc>
        <w:tc>
          <w:tcPr>
            <w:tcW w:type="dxa" w:w="5112"/>
            <w:vAlign w:val="center"/>
          </w:tcPr>
          <w:p>
            <w:pPr>
              <w:spacing w:after="40"/>
            </w:pPr>
            <w:r/>
            <w:r>
              <w:rPr>
                <w:rFonts w:ascii="Arial" w:hAnsi="Arial"/>
                <w:b w:val="0"/>
                <w:sz w:val="16"/>
              </w:rPr>
              <w:t>C++17-compatible compiler and CMake; record exact versions used.</w:t>
            </w:r>
          </w:p>
        </w:tc>
      </w:tr>
      <w:tr>
        <w:tc>
          <w:tcPr>
            <w:tcW w:type="dxa" w:w="5112"/>
            <w:vAlign w:val="center"/>
          </w:tcPr>
          <w:p>
            <w:pPr>
              <w:spacing w:after="40"/>
            </w:pPr>
            <w:r/>
            <w:r>
              <w:rPr>
                <w:rFonts w:ascii="Arial" w:hAnsi="Arial"/>
                <w:b w:val="0"/>
                <w:sz w:val="16"/>
              </w:rPr>
              <w:t>Inputs</w:t>
            </w:r>
          </w:p>
        </w:tc>
        <w:tc>
          <w:tcPr>
            <w:tcW w:type="dxa" w:w="5112"/>
            <w:vAlign w:val="center"/>
          </w:tcPr>
          <w:p>
            <w:pPr>
              <w:spacing w:after="40"/>
            </w:pPr>
            <w:r/>
            <w:r>
              <w:rPr>
                <w:rFonts w:ascii="Arial" w:hAnsi="Arial"/>
                <w:b w:val="0"/>
                <w:sz w:val="16"/>
              </w:rPr>
              <w:t>Valid and invalid scenario files/configurations; fixed seed; synthetic vehicle schedules.</w:t>
            </w:r>
          </w:p>
        </w:tc>
      </w:tr>
      <w:tr>
        <w:tc>
          <w:tcPr>
            <w:tcW w:type="dxa" w:w="5112"/>
            <w:vAlign w:val="center"/>
          </w:tcPr>
          <w:p>
            <w:pPr>
              <w:spacing w:after="40"/>
            </w:pPr>
            <w:r/>
            <w:r>
              <w:rPr>
                <w:rFonts w:ascii="Arial" w:hAnsi="Arial"/>
                <w:b w:val="0"/>
                <w:sz w:val="16"/>
              </w:rPr>
              <w:t>Tools</w:t>
            </w:r>
          </w:p>
        </w:tc>
        <w:tc>
          <w:tcPr>
            <w:tcW w:type="dxa" w:w="5112"/>
            <w:vAlign w:val="center"/>
          </w:tcPr>
          <w:p>
            <w:pPr>
              <w:spacing w:after="40"/>
            </w:pPr>
            <w:r/>
            <w:r>
              <w:rPr>
                <w:rFonts w:ascii="Arial" w:hAnsi="Arial"/>
                <w:b w:val="0"/>
                <w:sz w:val="16"/>
              </w:rPr>
              <w:t>Compiler/build logs, test executable or test framework available in repository, terminal, CSV/text viewer; optional sanitizers/static analyzer.</w:t>
            </w:r>
          </w:p>
        </w:tc>
      </w:tr>
      <w:tr>
        <w:tc>
          <w:tcPr>
            <w:tcW w:type="dxa" w:w="5112"/>
            <w:vAlign w:val="center"/>
          </w:tcPr>
          <w:p>
            <w:pPr>
              <w:spacing w:after="40"/>
            </w:pPr>
            <w:r/>
            <w:r>
              <w:rPr>
                <w:rFonts w:ascii="Arial" w:hAnsi="Arial"/>
                <w:b w:val="0"/>
                <w:sz w:val="16"/>
              </w:rPr>
              <w:t>Evidence</w:t>
            </w:r>
          </w:p>
        </w:tc>
        <w:tc>
          <w:tcPr>
            <w:tcW w:type="dxa" w:w="5112"/>
            <w:vAlign w:val="center"/>
          </w:tcPr>
          <w:p>
            <w:pPr>
              <w:spacing w:after="40"/>
            </w:pPr>
            <w:r/>
            <w:r>
              <w:rPr>
                <w:rFonts w:ascii="Arial" w:hAnsi="Arial"/>
                <w:b w:val="0"/>
                <w:sz w:val="16"/>
              </w:rPr>
              <w:t>For each case save date, build/commit identifier, input scenario, expected result, actual result, Pass/Fail, and log/screenshot path.</w:t>
            </w:r>
          </w:p>
        </w:tc>
      </w:tr>
    </w:tbl>
    <w:p/>
    <w:p>
      <w:pPr>
        <w:pStyle w:val="Heading1"/>
      </w:pPr>
      <w:r>
        <w:t>7. Test Schedule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spacing w:after="40"/>
            </w:pPr>
            <w:r>
              <w:rPr>
                <w:color w:val="FFFFFF"/>
              </w:rPr>
            </w:r>
            <w:r>
              <w:rPr>
                <w:rFonts w:ascii="Arial" w:hAnsi="Arial"/>
                <w:b/>
                <w:color w:val="FFFFFF"/>
                <w:sz w:val="16"/>
              </w:rPr>
              <w:t>Milestone</w:t>
            </w:r>
          </w:p>
        </w:tc>
        <w:tc>
          <w:tcPr>
            <w:tcW w:type="dxa" w:w="3408"/>
            <w:vAlign w:val="center"/>
            <w:shd w:fill="1F4E78"/>
          </w:tcPr>
          <w:p>
            <w:pPr>
              <w:spacing w:after="40"/>
            </w:pPr>
            <w:r>
              <w:rPr>
                <w:color w:val="FFFFFF"/>
              </w:rPr>
            </w:r>
            <w:r>
              <w:rPr>
                <w:rFonts w:ascii="Arial" w:hAnsi="Arial"/>
                <w:b/>
                <w:color w:val="FFFFFF"/>
                <w:sz w:val="16"/>
              </w:rPr>
              <w:t>Planned activity</w:t>
            </w:r>
          </w:p>
        </w:tc>
        <w:tc>
          <w:tcPr>
            <w:tcW w:type="dxa" w:w="3408"/>
            <w:vAlign w:val="center"/>
            <w:shd w:fill="1F4E78"/>
          </w:tcPr>
          <w:p>
            <w:pPr>
              <w:spacing w:after="40"/>
            </w:pPr>
            <w:r>
              <w:rPr>
                <w:color w:val="FFFFFF"/>
              </w:rPr>
            </w:r>
            <w:r>
              <w:rPr>
                <w:rFonts w:ascii="Arial" w:hAnsi="Arial"/>
                <w:b/>
                <w:color w:val="FFFFFF"/>
                <w:sz w:val="16"/>
              </w:rPr>
              <w:t>Status</w:t>
            </w:r>
          </w:p>
        </w:tc>
      </w:tr>
      <w:tr>
        <w:tc>
          <w:tcPr>
            <w:tcW w:type="dxa" w:w="3408"/>
            <w:vAlign w:val="center"/>
          </w:tcPr>
          <w:p>
            <w:pPr>
              <w:spacing w:after="40"/>
            </w:pPr>
            <w:r/>
            <w:r>
              <w:rPr>
                <w:rFonts w:ascii="Arial" w:hAnsi="Arial"/>
                <w:b w:val="0"/>
                <w:sz w:val="16"/>
              </w:rPr>
              <w:t>T1</w:t>
            </w:r>
          </w:p>
        </w:tc>
        <w:tc>
          <w:tcPr>
            <w:tcW w:type="dxa" w:w="3408"/>
            <w:vAlign w:val="center"/>
          </w:tcPr>
          <w:p>
            <w:pPr>
              <w:spacing w:after="40"/>
            </w:pPr>
            <w:r/>
            <w:r>
              <w:rPr>
                <w:rFonts w:ascii="Arial" w:hAnsi="Arial"/>
                <w:b w:val="0"/>
                <w:sz w:val="16"/>
              </w:rPr>
              <w:t>Review SRS and finalize test cases</w:t>
            </w:r>
          </w:p>
        </w:tc>
        <w:tc>
          <w:tcPr>
            <w:tcW w:type="dxa" w:w="3408"/>
            <w:vAlign w:val="center"/>
          </w:tcPr>
          <w:p>
            <w:pPr>
              <w:spacing w:after="40"/>
            </w:pPr>
            <w:r/>
            <w:r>
              <w:rPr>
                <w:rFonts w:ascii="Arial" w:hAnsi="Arial"/>
                <w:b w:val="0"/>
                <w:sz w:val="16"/>
              </w:rPr>
              <w:t>Pending</w:t>
            </w:r>
          </w:p>
        </w:tc>
      </w:tr>
      <w:tr>
        <w:tc>
          <w:tcPr>
            <w:tcW w:type="dxa" w:w="3408"/>
            <w:vAlign w:val="center"/>
          </w:tcPr>
          <w:p>
            <w:pPr>
              <w:spacing w:after="40"/>
            </w:pPr>
            <w:r/>
            <w:r>
              <w:rPr>
                <w:rFonts w:ascii="Arial" w:hAnsi="Arial"/>
                <w:b w:val="0"/>
                <w:sz w:val="16"/>
              </w:rPr>
              <w:t>T2</w:t>
            </w:r>
          </w:p>
        </w:tc>
        <w:tc>
          <w:tcPr>
            <w:tcW w:type="dxa" w:w="3408"/>
            <w:vAlign w:val="center"/>
          </w:tcPr>
          <w:p>
            <w:pPr>
              <w:spacing w:after="40"/>
            </w:pPr>
            <w:r/>
            <w:r>
              <w:rPr>
                <w:rFonts w:ascii="Arial" w:hAnsi="Arial"/>
                <w:b w:val="0"/>
                <w:sz w:val="16"/>
              </w:rPr>
              <w:t>Build and configure test environment</w:t>
            </w:r>
          </w:p>
        </w:tc>
        <w:tc>
          <w:tcPr>
            <w:tcW w:type="dxa" w:w="3408"/>
            <w:vAlign w:val="center"/>
          </w:tcPr>
          <w:p>
            <w:pPr>
              <w:spacing w:after="40"/>
            </w:pPr>
            <w:r/>
            <w:r>
              <w:rPr>
                <w:rFonts w:ascii="Arial" w:hAnsi="Arial"/>
                <w:b w:val="0"/>
                <w:sz w:val="16"/>
              </w:rPr>
              <w:t>Pending</w:t>
            </w:r>
          </w:p>
        </w:tc>
      </w:tr>
      <w:tr>
        <w:tc>
          <w:tcPr>
            <w:tcW w:type="dxa" w:w="3408"/>
            <w:vAlign w:val="center"/>
          </w:tcPr>
          <w:p>
            <w:pPr>
              <w:spacing w:after="40"/>
            </w:pPr>
            <w:r/>
            <w:r>
              <w:rPr>
                <w:rFonts w:ascii="Arial" w:hAnsi="Arial"/>
                <w:b w:val="0"/>
                <w:sz w:val="16"/>
              </w:rPr>
              <w:t>T3</w:t>
            </w:r>
          </w:p>
        </w:tc>
        <w:tc>
          <w:tcPr>
            <w:tcW w:type="dxa" w:w="3408"/>
            <w:vAlign w:val="center"/>
          </w:tcPr>
          <w:p>
            <w:pPr>
              <w:spacing w:after="40"/>
            </w:pPr>
            <w:r/>
            <w:r>
              <w:rPr>
                <w:rFonts w:ascii="Arial" w:hAnsi="Arial"/>
                <w:b w:val="0"/>
                <w:sz w:val="16"/>
              </w:rPr>
              <w:t>Run unit and integration tests</w:t>
            </w:r>
          </w:p>
        </w:tc>
        <w:tc>
          <w:tcPr>
            <w:tcW w:type="dxa" w:w="3408"/>
            <w:vAlign w:val="center"/>
          </w:tcPr>
          <w:p>
            <w:pPr>
              <w:spacing w:after="40"/>
            </w:pPr>
            <w:r/>
            <w:r>
              <w:rPr>
                <w:rFonts w:ascii="Arial" w:hAnsi="Arial"/>
                <w:b w:val="0"/>
                <w:sz w:val="16"/>
              </w:rPr>
              <w:t>Pending</w:t>
            </w:r>
          </w:p>
        </w:tc>
      </w:tr>
      <w:tr>
        <w:tc>
          <w:tcPr>
            <w:tcW w:type="dxa" w:w="3408"/>
            <w:vAlign w:val="center"/>
          </w:tcPr>
          <w:p>
            <w:pPr>
              <w:spacing w:after="40"/>
            </w:pPr>
            <w:r/>
            <w:r>
              <w:rPr>
                <w:rFonts w:ascii="Arial" w:hAnsi="Arial"/>
                <w:b w:val="0"/>
                <w:sz w:val="16"/>
              </w:rPr>
              <w:t>T4</w:t>
            </w:r>
          </w:p>
        </w:tc>
        <w:tc>
          <w:tcPr>
            <w:tcW w:type="dxa" w:w="3408"/>
            <w:vAlign w:val="center"/>
          </w:tcPr>
          <w:p>
            <w:pPr>
              <w:spacing w:after="40"/>
            </w:pPr>
            <w:r/>
            <w:r>
              <w:rPr>
                <w:rFonts w:ascii="Arial" w:hAnsi="Arial"/>
                <w:b w:val="0"/>
                <w:sz w:val="16"/>
              </w:rPr>
              <w:t>Run end-to-end, security robustness, and report tests</w:t>
            </w:r>
          </w:p>
        </w:tc>
        <w:tc>
          <w:tcPr>
            <w:tcW w:type="dxa" w:w="3408"/>
            <w:vAlign w:val="center"/>
          </w:tcPr>
          <w:p>
            <w:pPr>
              <w:spacing w:after="40"/>
            </w:pPr>
            <w:r/>
            <w:r>
              <w:rPr>
                <w:rFonts w:ascii="Arial" w:hAnsi="Arial"/>
                <w:b w:val="0"/>
                <w:sz w:val="16"/>
              </w:rPr>
              <w:t>Pending</w:t>
            </w:r>
          </w:p>
        </w:tc>
      </w:tr>
      <w:tr>
        <w:tc>
          <w:tcPr>
            <w:tcW w:type="dxa" w:w="3408"/>
            <w:vAlign w:val="center"/>
          </w:tcPr>
          <w:p>
            <w:pPr>
              <w:spacing w:after="40"/>
            </w:pPr>
            <w:r/>
            <w:r>
              <w:rPr>
                <w:rFonts w:ascii="Arial" w:hAnsi="Arial"/>
                <w:b w:val="0"/>
                <w:sz w:val="16"/>
              </w:rPr>
              <w:t>T5</w:t>
            </w:r>
          </w:p>
        </w:tc>
        <w:tc>
          <w:tcPr>
            <w:tcW w:type="dxa" w:w="3408"/>
            <w:vAlign w:val="center"/>
          </w:tcPr>
          <w:p>
            <w:pPr>
              <w:spacing w:after="40"/>
            </w:pPr>
            <w:r/>
            <w:r>
              <w:rPr>
                <w:rFonts w:ascii="Arial" w:hAnsi="Arial"/>
                <w:b w:val="0"/>
                <w:sz w:val="16"/>
              </w:rPr>
              <w:t>Run performance and reproducibility checks</w:t>
            </w:r>
          </w:p>
        </w:tc>
        <w:tc>
          <w:tcPr>
            <w:tcW w:type="dxa" w:w="3408"/>
            <w:vAlign w:val="center"/>
          </w:tcPr>
          <w:p>
            <w:pPr>
              <w:spacing w:after="40"/>
            </w:pPr>
            <w:r/>
            <w:r>
              <w:rPr>
                <w:rFonts w:ascii="Arial" w:hAnsi="Arial"/>
                <w:b w:val="0"/>
                <w:sz w:val="16"/>
              </w:rPr>
              <w:t>Pending</w:t>
            </w:r>
          </w:p>
        </w:tc>
      </w:tr>
      <w:tr>
        <w:tc>
          <w:tcPr>
            <w:tcW w:type="dxa" w:w="3408"/>
            <w:vAlign w:val="center"/>
          </w:tcPr>
          <w:p>
            <w:pPr>
              <w:spacing w:after="40"/>
            </w:pPr>
            <w:r/>
            <w:r>
              <w:rPr>
                <w:rFonts w:ascii="Arial" w:hAnsi="Arial"/>
                <w:b w:val="0"/>
                <w:sz w:val="16"/>
              </w:rPr>
              <w:t>T6</w:t>
            </w:r>
          </w:p>
        </w:tc>
        <w:tc>
          <w:tcPr>
            <w:tcW w:type="dxa" w:w="3408"/>
            <w:vAlign w:val="center"/>
          </w:tcPr>
          <w:p>
            <w:pPr>
              <w:spacing w:after="40"/>
            </w:pPr>
            <w:r/>
            <w:r>
              <w:rPr>
                <w:rFonts w:ascii="Arial" w:hAnsi="Arial"/>
                <w:b w:val="0"/>
                <w:sz w:val="16"/>
              </w:rPr>
              <w:t>Review defects, update RTM, and sign off</w:t>
            </w:r>
          </w:p>
        </w:tc>
        <w:tc>
          <w:tcPr>
            <w:tcW w:type="dxa" w:w="3408"/>
            <w:vAlign w:val="center"/>
          </w:tcPr>
          <w:p>
            <w:pPr>
              <w:spacing w:after="40"/>
            </w:pPr>
            <w:r/>
            <w:r>
              <w:rPr>
                <w:rFonts w:ascii="Arial" w:hAnsi="Arial"/>
                <w:b w:val="0"/>
                <w:sz w:val="16"/>
              </w:rPr>
              <w:t>Pending</w:t>
            </w:r>
          </w:p>
        </w:tc>
      </w:tr>
    </w:tbl>
    <w:p/>
    <w:p>
      <w:pPr>
        <w:pStyle w:val="Heading1"/>
      </w:pPr>
      <w:r>
        <w:t>8. Test Deliverables</w:t>
      </w:r>
    </w:p>
    <w:p>
      <w:pPr>
        <w:pStyle w:val="ListBullet"/>
      </w:pPr>
      <w:r>
        <w:t>Approved Software Test Plan</w:t>
      </w:r>
    </w:p>
    <w:p>
      <w:pPr>
        <w:pStyle w:val="ListBullet"/>
      </w:pPr>
      <w:r>
        <w:t>Test-case execution sheet and test data</w:t>
      </w:r>
    </w:p>
    <w:p>
      <w:pPr>
        <w:pStyle w:val="ListBullet"/>
      </w:pPr>
      <w:r>
        <w:t>Build/test logs and screenshots</w:t>
      </w:r>
    </w:p>
    <w:p>
      <w:pPr>
        <w:pStyle w:val="ListBullet"/>
      </w:pPr>
      <w:r>
        <w:t>Defect list with severity and reproduction steps</w:t>
      </w:r>
    </w:p>
    <w:p>
      <w:pPr>
        <w:pStyle w:val="ListBullet"/>
      </w:pPr>
      <w:r>
        <w:t>Updated SRS-to-test traceability matrix</w:t>
      </w:r>
    </w:p>
    <w:p>
      <w:pPr>
        <w:pStyle w:val="ListBullet"/>
      </w:pPr>
      <w:r>
        <w:t>Final test summary and known limitations</w:t>
      </w:r>
    </w:p>
    <w:p>
      <w:pPr>
        <w:pStyle w:val="Heading1"/>
      </w:pPr>
      <w:r>
        <w:t>9.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40"/>
            </w:pPr>
            <w:r>
              <w:rPr>
                <w:color w:val="FFFFFF"/>
              </w:rPr>
            </w:r>
            <w:r>
              <w:rPr>
                <w:rFonts w:ascii="Arial" w:hAnsi="Arial"/>
                <w:b/>
                <w:color w:val="FFFFFF"/>
                <w:sz w:val="16"/>
              </w:rPr>
              <w:t>Role</w:t>
            </w:r>
          </w:p>
        </w:tc>
        <w:tc>
          <w:tcPr>
            <w:tcW w:type="dxa" w:w="5112"/>
            <w:vAlign w:val="center"/>
            <w:shd w:fill="1F4E78"/>
          </w:tcPr>
          <w:p>
            <w:pPr>
              <w:spacing w:after="40"/>
            </w:pPr>
            <w:r>
              <w:rPr>
                <w:color w:val="FFFFFF"/>
              </w:rPr>
            </w:r>
            <w:r>
              <w:rPr>
                <w:rFonts w:ascii="Arial" w:hAnsi="Arial"/>
                <w:b/>
                <w:color w:val="FFFFFF"/>
                <w:sz w:val="16"/>
              </w:rPr>
              <w:t>Responsibility</w:t>
            </w:r>
          </w:p>
        </w:tc>
      </w:tr>
      <w:tr>
        <w:tc>
          <w:tcPr>
            <w:tcW w:type="dxa" w:w="5112"/>
            <w:vAlign w:val="center"/>
          </w:tcPr>
          <w:p>
            <w:pPr>
              <w:spacing w:after="40"/>
            </w:pPr>
            <w:r/>
            <w:r>
              <w:rPr>
                <w:rFonts w:ascii="Arial" w:hAnsi="Arial"/>
                <w:b w:val="0"/>
                <w:sz w:val="16"/>
              </w:rPr>
              <w:t>Developer/module owner</w:t>
            </w:r>
          </w:p>
        </w:tc>
        <w:tc>
          <w:tcPr>
            <w:tcW w:type="dxa" w:w="5112"/>
            <w:vAlign w:val="center"/>
          </w:tcPr>
          <w:p>
            <w:pPr>
              <w:spacing w:after="40"/>
            </w:pPr>
            <w:r/>
            <w:r>
              <w:rPr>
                <w:rFonts w:ascii="Arial" w:hAnsi="Arial"/>
                <w:b w:val="0"/>
                <w:sz w:val="16"/>
              </w:rPr>
              <w:t>Explain implementation, fix defects, provide module/build details.</w:t>
            </w:r>
          </w:p>
        </w:tc>
      </w:tr>
      <w:tr>
        <w:tc>
          <w:tcPr>
            <w:tcW w:type="dxa" w:w="5112"/>
            <w:vAlign w:val="center"/>
          </w:tcPr>
          <w:p>
            <w:pPr>
              <w:spacing w:after="40"/>
            </w:pPr>
            <w:r/>
            <w:r>
              <w:rPr>
                <w:rFonts w:ascii="Arial" w:hAnsi="Arial"/>
                <w:b w:val="0"/>
                <w:sz w:val="16"/>
              </w:rPr>
              <w:t>Tester (including Vainik for assigned scope)</w:t>
            </w:r>
          </w:p>
        </w:tc>
        <w:tc>
          <w:tcPr>
            <w:tcW w:type="dxa" w:w="5112"/>
            <w:vAlign w:val="center"/>
          </w:tcPr>
          <w:p>
            <w:pPr>
              <w:spacing w:after="40"/>
            </w:pPr>
            <w:r/>
            <w:r>
              <w:rPr>
                <w:rFonts w:ascii="Arial" w:hAnsi="Arial"/>
                <w:b w:val="0"/>
                <w:sz w:val="16"/>
              </w:rPr>
              <w:t>Execute cases, preserve evidence, report actual outcomes and defects.</w:t>
            </w:r>
          </w:p>
        </w:tc>
      </w:tr>
      <w:tr>
        <w:tc>
          <w:tcPr>
            <w:tcW w:type="dxa" w:w="5112"/>
            <w:vAlign w:val="center"/>
          </w:tcPr>
          <w:p>
            <w:pPr>
              <w:spacing w:after="40"/>
            </w:pPr>
            <w:r/>
            <w:r>
              <w:rPr>
                <w:rFonts w:ascii="Arial" w:hAnsi="Arial"/>
                <w:b w:val="0"/>
                <w:sz w:val="16"/>
              </w:rPr>
              <w:t>Integration coordinator</w:t>
            </w:r>
          </w:p>
        </w:tc>
        <w:tc>
          <w:tcPr>
            <w:tcW w:type="dxa" w:w="5112"/>
            <w:vAlign w:val="center"/>
          </w:tcPr>
          <w:p>
            <w:pPr>
              <w:spacing w:after="40"/>
            </w:pPr>
            <w:r/>
            <w:r>
              <w:rPr>
                <w:rFonts w:ascii="Arial" w:hAnsi="Arial"/>
                <w:b w:val="0"/>
                <w:sz w:val="16"/>
              </w:rPr>
              <w:t>Coordinate cross-module tests and resolve interface assumptions.</w:t>
            </w:r>
          </w:p>
        </w:tc>
      </w:tr>
      <w:tr>
        <w:tc>
          <w:tcPr>
            <w:tcW w:type="dxa" w:w="5112"/>
            <w:vAlign w:val="center"/>
          </w:tcPr>
          <w:p>
            <w:pPr>
              <w:spacing w:after="40"/>
            </w:pPr>
            <w:r/>
            <w:r>
              <w:rPr>
                <w:rFonts w:ascii="Arial" w:hAnsi="Arial"/>
                <w:b w:val="0"/>
                <w:sz w:val="16"/>
              </w:rPr>
              <w:t>Project team/evaluator</w:t>
            </w:r>
          </w:p>
        </w:tc>
        <w:tc>
          <w:tcPr>
            <w:tcW w:type="dxa" w:w="5112"/>
            <w:vAlign w:val="center"/>
          </w:tcPr>
          <w:p>
            <w:pPr>
              <w:spacing w:after="40"/>
            </w:pPr>
            <w:r/>
            <w:r>
              <w:rPr>
                <w:rFonts w:ascii="Arial" w:hAnsi="Arial"/>
                <w:b w:val="0"/>
                <w:sz w:val="16"/>
              </w:rPr>
              <w:t>Review traceability, acceptance evidence, and final sign-off.</w:t>
            </w:r>
          </w:p>
        </w:tc>
      </w:tr>
    </w:tbl>
    <w:p/>
    <w:p>
      <w:pPr>
        <w:pStyle w:val="Heading1"/>
      </w:pPr>
      <w:r>
        <w:t>10. Risks and Mitigation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40"/>
            </w:pPr>
            <w:r>
              <w:rPr>
                <w:color w:val="FFFFFF"/>
              </w:rPr>
            </w:r>
            <w:r>
              <w:rPr>
                <w:rFonts w:ascii="Arial" w:hAnsi="Arial"/>
                <w:b/>
                <w:color w:val="FFFFFF"/>
                <w:sz w:val="16"/>
              </w:rPr>
              <w:t>Risk</w:t>
            </w:r>
          </w:p>
        </w:tc>
        <w:tc>
          <w:tcPr>
            <w:tcW w:type="dxa" w:w="5112"/>
            <w:vAlign w:val="center"/>
            <w:shd w:fill="1F4E78"/>
          </w:tcPr>
          <w:p>
            <w:pPr>
              <w:spacing w:after="40"/>
            </w:pPr>
            <w:r>
              <w:rPr>
                <w:color w:val="FFFFFF"/>
              </w:rPr>
            </w:r>
            <w:r>
              <w:rPr>
                <w:rFonts w:ascii="Arial" w:hAnsi="Arial"/>
                <w:b/>
                <w:color w:val="FFFFFF"/>
                <w:sz w:val="16"/>
              </w:rPr>
              <w:t>Mitigation</w:t>
            </w:r>
          </w:p>
        </w:tc>
      </w:tr>
      <w:tr>
        <w:tc>
          <w:tcPr>
            <w:tcW w:type="dxa" w:w="5112"/>
            <w:vAlign w:val="center"/>
          </w:tcPr>
          <w:p>
            <w:pPr>
              <w:spacing w:after="40"/>
            </w:pPr>
            <w:r/>
            <w:r>
              <w:rPr>
                <w:rFonts w:ascii="Arial" w:hAnsi="Arial"/>
                <w:b w:val="0"/>
                <w:sz w:val="16"/>
              </w:rPr>
              <w:t>Implementation differs from SRS assumptions</w:t>
            </w:r>
          </w:p>
        </w:tc>
        <w:tc>
          <w:tcPr>
            <w:tcW w:type="dxa" w:w="5112"/>
            <w:vAlign w:val="center"/>
          </w:tcPr>
          <w:p>
            <w:pPr>
              <w:spacing w:after="40"/>
            </w:pPr>
            <w:r/>
            <w:r>
              <w:rPr>
                <w:rFonts w:ascii="Arial" w:hAnsi="Arial"/>
                <w:b w:val="0"/>
                <w:sz w:val="16"/>
              </w:rPr>
              <w:t>Verify source code and update documents before final submission.</w:t>
            </w:r>
          </w:p>
        </w:tc>
      </w:tr>
      <w:tr>
        <w:tc>
          <w:tcPr>
            <w:tcW w:type="dxa" w:w="5112"/>
            <w:vAlign w:val="center"/>
          </w:tcPr>
          <w:p>
            <w:pPr>
              <w:spacing w:after="40"/>
            </w:pPr>
            <w:r/>
            <w:r>
              <w:rPr>
                <w:rFonts w:ascii="Arial" w:hAnsi="Arial"/>
                <w:b w:val="0"/>
                <w:sz w:val="16"/>
              </w:rPr>
              <w:t>Build environment unavailable on borrowed laptop</w:t>
            </w:r>
          </w:p>
        </w:tc>
        <w:tc>
          <w:tcPr>
            <w:tcW w:type="dxa" w:w="5112"/>
            <w:vAlign w:val="center"/>
          </w:tcPr>
          <w:p>
            <w:pPr>
              <w:spacing w:after="40"/>
            </w:pPr>
            <w:r/>
            <w:r>
              <w:rPr>
                <w:rFonts w:ascii="Arial" w:hAnsi="Arial"/>
                <w:b w:val="0"/>
                <w:sz w:val="16"/>
              </w:rPr>
              <w:t>Use repository and portable test data; avoid machine-specific paths.</w:t>
            </w:r>
          </w:p>
        </w:tc>
      </w:tr>
      <w:tr>
        <w:tc>
          <w:tcPr>
            <w:tcW w:type="dxa" w:w="5112"/>
            <w:vAlign w:val="center"/>
          </w:tcPr>
          <w:p>
            <w:pPr>
              <w:spacing w:after="40"/>
            </w:pPr>
            <w:r/>
            <w:r>
              <w:rPr>
                <w:rFonts w:ascii="Arial" w:hAnsi="Arial"/>
                <w:b w:val="0"/>
                <w:sz w:val="16"/>
              </w:rPr>
              <w:t>Expected outputs are not defined</w:t>
            </w:r>
          </w:p>
        </w:tc>
        <w:tc>
          <w:tcPr>
            <w:tcW w:type="dxa" w:w="5112"/>
            <w:vAlign w:val="center"/>
          </w:tcPr>
          <w:p>
            <w:pPr>
              <w:spacing w:after="40"/>
            </w:pPr>
            <w:r/>
            <w:r>
              <w:rPr>
                <w:rFonts w:ascii="Arial" w:hAnsi="Arial"/>
                <w:b w:val="0"/>
                <w:sz w:val="16"/>
              </w:rPr>
              <w:t>Agree on small deterministic scenarios and manually calculate expected results.</w:t>
            </w:r>
          </w:p>
        </w:tc>
      </w:tr>
      <w:tr>
        <w:tc>
          <w:tcPr>
            <w:tcW w:type="dxa" w:w="5112"/>
            <w:vAlign w:val="center"/>
          </w:tcPr>
          <w:p>
            <w:pPr>
              <w:spacing w:after="40"/>
            </w:pPr>
            <w:r/>
            <w:r>
              <w:rPr>
                <w:rFonts w:ascii="Arial" w:hAnsi="Arial"/>
                <w:b w:val="0"/>
                <w:sz w:val="16"/>
              </w:rPr>
              <w:t>Insufficient time for all tests</w:t>
            </w:r>
          </w:p>
        </w:tc>
        <w:tc>
          <w:tcPr>
            <w:tcW w:type="dxa" w:w="5112"/>
            <w:vAlign w:val="center"/>
          </w:tcPr>
          <w:p>
            <w:pPr>
              <w:spacing w:after="40"/>
            </w:pPr>
            <w:r/>
            <w:r>
              <w:rPr>
                <w:rFonts w:ascii="Arial" w:hAnsi="Arial"/>
                <w:b w:val="0"/>
                <w:sz w:val="16"/>
              </w:rPr>
              <w:t>Prioritize signal safety, capacity, invalid input, incidents, metrics, and reproducibility.</w:t>
            </w:r>
          </w:p>
        </w:tc>
      </w:tr>
      <w:tr>
        <w:tc>
          <w:tcPr>
            <w:tcW w:type="dxa" w:w="5112"/>
            <w:vAlign w:val="center"/>
          </w:tcPr>
          <w:p>
            <w:pPr>
              <w:spacing w:after="40"/>
            </w:pPr>
            <w:r/>
            <w:r>
              <w:rPr>
                <w:rFonts w:ascii="Arial" w:hAnsi="Arial"/>
                <w:b w:val="0"/>
                <w:sz w:val="16"/>
              </w:rPr>
              <w:t>CSV export/path errors</w:t>
            </w:r>
          </w:p>
        </w:tc>
        <w:tc>
          <w:tcPr>
            <w:tcW w:type="dxa" w:w="5112"/>
            <w:vAlign w:val="center"/>
          </w:tcPr>
          <w:p>
            <w:pPr>
              <w:spacing w:after="40"/>
            </w:pPr>
            <w:r/>
            <w:r>
              <w:rPr>
                <w:rFonts w:ascii="Arial" w:hAnsi="Arial"/>
                <w:b w:val="0"/>
                <w:sz w:val="16"/>
              </w:rPr>
              <w:t>Test valid, unwritable, and invalid output paths.</w:t>
            </w:r>
          </w:p>
        </w:tc>
      </w:tr>
    </w:tbl>
    <w:p/>
    <w:p>
      <w:pPr>
        <w:pStyle w:val="Heading1"/>
      </w:pPr>
      <w:r>
        <w:t>11. Assumptions and Dependencies</w:t>
      </w:r>
    </w:p>
    <w:p>
      <w:pPr>
        <w:pStyle w:val="ListBullet"/>
      </w:pPr>
      <w:r>
        <w:t>The SRS v1.0 is the baseline for requirement IDs and expected behavior.</w:t>
      </w:r>
    </w:p>
    <w:p>
      <w:pPr>
        <w:pStyle w:val="ListBullet"/>
      </w:pPr>
      <w:r>
        <w:t>The repository build/run instructions and implementation may need verification by the project team; test design does not claim that cases have already passed.</w:t>
      </w:r>
    </w:p>
    <w:p>
      <w:pPr>
        <w:pStyle w:val="ListBullet"/>
      </w:pPr>
      <w:r>
        <w:t>Simulation outputs are deterministic when the same configuration and supported seed are used, as specified by FR-18/NFR-10.</w:t>
      </w:r>
    </w:p>
    <w:p>
      <w:pPr>
        <w:pStyle w:val="Heading1"/>
      </w:pPr>
      <w:r>
        <w:t>12. Suspension and Resumption Criteria</w:t>
      </w:r>
    </w:p>
    <w:p>
      <w:r>
        <w:t>Suspend a test run if the build cannot start, test data is corrupted, the environment produces unrelated failures, or a critical crash makes further execution unsafe. Resume after the build/environment is restored, the failing setup is documented, and the affected tests can be repeated from a known state.</w:t>
      </w:r>
    </w:p>
    <w:p>
      <w:pPr>
        <w:pStyle w:val="Heading1"/>
      </w:pPr>
      <w:r>
        <w:t>13. Test Case Management and Traceability</w:t>
      </w:r>
    </w:p>
    <w:p>
      <w:r>
        <w:t>The following cases are planned, not yet executed. Update status only after collecting evidence. The SRS itself lists TC-01 through TC-18 and TC-NFR-01 through TC-NFR-10; the cases below preserve that mapping and provide executable test steps.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78"/>
          </w:tcPr>
          <w:p>
            <w:pPr>
              <w:spacing w:after="40"/>
            </w:pPr>
            <w:r>
              <w:rPr>
                <w:color w:val="FFFFFF"/>
              </w:rPr>
            </w:r>
            <w:r>
              <w:rPr>
                <w:rFonts w:ascii="Arial" w:hAnsi="Arial"/>
                <w:b/>
                <w:color w:val="FFFFFF"/>
                <w:sz w:val="14"/>
              </w:rPr>
              <w:t>Test ID</w:t>
            </w:r>
          </w:p>
        </w:tc>
        <w:tc>
          <w:tcPr>
            <w:tcW w:type="dxa" w:w="1704"/>
            <w:vAlign w:val="center"/>
            <w:shd w:fill="1F4E78"/>
          </w:tcPr>
          <w:p>
            <w:pPr>
              <w:spacing w:after="40"/>
            </w:pPr>
            <w:r>
              <w:rPr>
                <w:color w:val="FFFFFF"/>
              </w:rPr>
            </w:r>
            <w:r>
              <w:rPr>
                <w:rFonts w:ascii="Arial" w:hAnsi="Arial"/>
                <w:b/>
                <w:color w:val="FFFFFF"/>
                <w:sz w:val="14"/>
              </w:rPr>
              <w:t>SRS mapping</w:t>
            </w:r>
          </w:p>
        </w:tc>
        <w:tc>
          <w:tcPr>
            <w:tcW w:type="dxa" w:w="1704"/>
            <w:vAlign w:val="center"/>
            <w:shd w:fill="1F4E78"/>
          </w:tcPr>
          <w:p>
            <w:pPr>
              <w:spacing w:after="40"/>
            </w:pPr>
            <w:r>
              <w:rPr>
                <w:color w:val="FFFFFF"/>
              </w:rPr>
            </w:r>
            <w:r>
              <w:rPr>
                <w:rFonts w:ascii="Arial" w:hAnsi="Arial"/>
                <w:b/>
                <w:color w:val="FFFFFF"/>
                <w:sz w:val="14"/>
              </w:rPr>
              <w:t>Title</w:t>
            </w:r>
          </w:p>
        </w:tc>
        <w:tc>
          <w:tcPr>
            <w:tcW w:type="dxa" w:w="1704"/>
            <w:vAlign w:val="center"/>
            <w:shd w:fill="1F4E78"/>
          </w:tcPr>
          <w:p>
            <w:pPr>
              <w:spacing w:after="40"/>
            </w:pPr>
            <w:r>
              <w:rPr>
                <w:color w:val="FFFFFF"/>
              </w:rPr>
            </w:r>
            <w:r>
              <w:rPr>
                <w:rFonts w:ascii="Arial" w:hAnsi="Arial"/>
                <w:b/>
                <w:color w:val="FFFFFF"/>
                <w:sz w:val="14"/>
              </w:rPr>
              <w:t>Test procedure / input</w:t>
            </w:r>
          </w:p>
        </w:tc>
        <w:tc>
          <w:tcPr>
            <w:tcW w:type="dxa" w:w="1704"/>
            <w:vAlign w:val="center"/>
            <w:shd w:fill="1F4E78"/>
          </w:tcPr>
          <w:p>
            <w:pPr>
              <w:spacing w:after="40"/>
            </w:pPr>
            <w:r>
              <w:rPr>
                <w:color w:val="FFFFFF"/>
              </w:rPr>
            </w:r>
            <w:r>
              <w:rPr>
                <w:rFonts w:ascii="Arial" w:hAnsi="Arial"/>
                <w:b/>
                <w:color w:val="FFFFFF"/>
                <w:sz w:val="14"/>
              </w:rPr>
              <w:t>Expected result</w:t>
            </w:r>
          </w:p>
        </w:tc>
        <w:tc>
          <w:tcPr>
            <w:tcW w:type="dxa" w:w="1704"/>
            <w:vAlign w:val="center"/>
            <w:shd w:fill="1F4E78"/>
          </w:tcPr>
          <w:p>
            <w:pPr>
              <w:spacing w:after="40"/>
            </w:pPr>
            <w:r>
              <w:rPr>
                <w:color w:val="FFFFFF"/>
              </w:rPr>
            </w:r>
            <w:r>
              <w:rPr>
                <w:rFonts w:ascii="Arial" w:hAnsi="Arial"/>
                <w:b/>
                <w:color w:val="FFFFFF"/>
                <w:sz w:val="14"/>
              </w:rPr>
              <w:t>Status</w:t>
            </w:r>
          </w:p>
        </w:tc>
      </w:tr>
      <w:tr>
        <w:tc>
          <w:tcPr>
            <w:tcW w:type="dxa" w:w="1704"/>
            <w:vAlign w:val="center"/>
          </w:tcPr>
          <w:p>
            <w:pPr>
              <w:spacing w:after="40"/>
            </w:pPr>
            <w:r/>
            <w:r>
              <w:rPr>
                <w:rFonts w:ascii="Arial" w:hAnsi="Arial"/>
                <w:b w:val="0"/>
                <w:sz w:val="14"/>
              </w:rPr>
              <w:t>TC-01</w:t>
            </w:r>
          </w:p>
        </w:tc>
        <w:tc>
          <w:tcPr>
            <w:tcW w:type="dxa" w:w="1704"/>
            <w:vAlign w:val="center"/>
          </w:tcPr>
          <w:p>
            <w:pPr>
              <w:spacing w:after="40"/>
            </w:pPr>
            <w:r/>
            <w:r>
              <w:rPr>
                <w:rFonts w:ascii="Arial" w:hAnsi="Arial"/>
                <w:b w:val="0"/>
                <w:sz w:val="14"/>
              </w:rPr>
              <w:t>FR-01</w:t>
            </w:r>
          </w:p>
        </w:tc>
        <w:tc>
          <w:tcPr>
            <w:tcW w:type="dxa" w:w="1704"/>
            <w:vAlign w:val="center"/>
          </w:tcPr>
          <w:p>
            <w:pPr>
              <w:spacing w:after="40"/>
            </w:pPr>
            <w:r/>
            <w:r>
              <w:rPr>
                <w:rFonts w:ascii="Arial" w:hAnsi="Arial"/>
                <w:b w:val="0"/>
                <w:sz w:val="14"/>
              </w:rPr>
              <w:t>Valid scenario loads</w:t>
            </w:r>
          </w:p>
        </w:tc>
        <w:tc>
          <w:tcPr>
            <w:tcW w:type="dxa" w:w="1704"/>
            <w:vAlign w:val="center"/>
          </w:tcPr>
          <w:p>
            <w:pPr>
              <w:spacing w:after="40"/>
            </w:pPr>
            <w:r/>
            <w:r>
              <w:rPr>
                <w:rFonts w:ascii="Arial" w:hAnsi="Arial"/>
                <w:b w:val="0"/>
                <w:sz w:val="14"/>
              </w:rPr>
              <w:t>Provide a configuration with valid intersections, roads, capacities and duration; start/load it.</w:t>
            </w:r>
          </w:p>
        </w:tc>
        <w:tc>
          <w:tcPr>
            <w:tcW w:type="dxa" w:w="1704"/>
            <w:vAlign w:val="center"/>
          </w:tcPr>
          <w:p>
            <w:pPr>
              <w:spacing w:after="40"/>
            </w:pPr>
            <w:r/>
            <w:r>
              <w:rPr>
                <w:rFonts w:ascii="Arial" w:hAnsi="Arial"/>
                <w:b w:val="0"/>
                <w:sz w:val="14"/>
              </w:rPr>
              <w:t>Scenario is accepted and network/run parameters are displayed.</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TC-02</w:t>
            </w:r>
          </w:p>
        </w:tc>
        <w:tc>
          <w:tcPr>
            <w:tcW w:type="dxa" w:w="1704"/>
            <w:vAlign w:val="center"/>
          </w:tcPr>
          <w:p>
            <w:pPr>
              <w:spacing w:after="40"/>
            </w:pPr>
            <w:r/>
            <w:r>
              <w:rPr>
                <w:rFonts w:ascii="Arial" w:hAnsi="Arial"/>
                <w:b w:val="0"/>
                <w:sz w:val="14"/>
              </w:rPr>
              <w:t>FR-01, NFR-04</w:t>
            </w:r>
          </w:p>
        </w:tc>
        <w:tc>
          <w:tcPr>
            <w:tcW w:type="dxa" w:w="1704"/>
            <w:vAlign w:val="center"/>
          </w:tcPr>
          <w:p>
            <w:pPr>
              <w:spacing w:after="40"/>
            </w:pPr>
            <w:r/>
            <w:r>
              <w:rPr>
                <w:rFonts w:ascii="Arial" w:hAnsi="Arial"/>
                <w:b w:val="0"/>
                <w:sz w:val="14"/>
              </w:rPr>
              <w:t>Invalid scenario rejected</w:t>
            </w:r>
          </w:p>
        </w:tc>
        <w:tc>
          <w:tcPr>
            <w:tcW w:type="dxa" w:w="1704"/>
            <w:vAlign w:val="center"/>
          </w:tcPr>
          <w:p>
            <w:pPr>
              <w:spacing w:after="40"/>
            </w:pPr>
            <w:r/>
            <w:r>
              <w:rPr>
                <w:rFonts w:ascii="Arial" w:hAnsi="Arial"/>
                <w:b w:val="0"/>
                <w:sz w:val="14"/>
              </w:rPr>
              <w:t>Set a lane capacity to a negative value or reference an unknown node; load configuration.</w:t>
            </w:r>
          </w:p>
        </w:tc>
        <w:tc>
          <w:tcPr>
            <w:tcW w:type="dxa" w:w="1704"/>
            <w:vAlign w:val="center"/>
          </w:tcPr>
          <w:p>
            <w:pPr>
              <w:spacing w:after="40"/>
            </w:pPr>
            <w:r/>
            <w:r>
              <w:rPr>
                <w:rFonts w:ascii="Arial" w:hAnsi="Arial"/>
                <w:b w:val="0"/>
                <w:sz w:val="14"/>
              </w:rPr>
              <w:t>Configuration is rejected with a clear error; no crash or partial invalid run.</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TC-03</w:t>
            </w:r>
          </w:p>
        </w:tc>
        <w:tc>
          <w:tcPr>
            <w:tcW w:type="dxa" w:w="1704"/>
            <w:vAlign w:val="center"/>
          </w:tcPr>
          <w:p>
            <w:pPr>
              <w:spacing w:after="40"/>
            </w:pPr>
            <w:r/>
            <w:r>
              <w:rPr>
                <w:rFonts w:ascii="Arial" w:hAnsi="Arial"/>
                <w:b w:val="0"/>
                <w:sz w:val="14"/>
              </w:rPr>
              <w:t>FR-02, FR-03, FR-18</w:t>
            </w:r>
          </w:p>
        </w:tc>
        <w:tc>
          <w:tcPr>
            <w:tcW w:type="dxa" w:w="1704"/>
            <w:vAlign w:val="center"/>
          </w:tcPr>
          <w:p>
            <w:pPr>
              <w:spacing w:after="40"/>
            </w:pPr>
            <w:r/>
            <w:r>
              <w:rPr>
                <w:rFonts w:ascii="Arial" w:hAnsi="Arial"/>
                <w:b w:val="0"/>
                <w:sz w:val="14"/>
              </w:rPr>
              <w:t>Vehicle generation and IDs</w:t>
            </w:r>
          </w:p>
        </w:tc>
        <w:tc>
          <w:tcPr>
            <w:tcW w:type="dxa" w:w="1704"/>
            <w:vAlign w:val="center"/>
          </w:tcPr>
          <w:p>
            <w:pPr>
              <w:spacing w:after="40"/>
            </w:pPr>
            <w:r/>
            <w:r>
              <w:rPr>
                <w:rFonts w:ascii="Arial" w:hAnsi="Arial"/>
                <w:b w:val="0"/>
                <w:sz w:val="14"/>
              </w:rPr>
              <w:t>Run a fixed arrival schedule with a known seed; inspect generated vehicles and IDs.</w:t>
            </w:r>
          </w:p>
        </w:tc>
        <w:tc>
          <w:tcPr>
            <w:tcW w:type="dxa" w:w="1704"/>
            <w:vAlign w:val="center"/>
          </w:tcPr>
          <w:p>
            <w:pPr>
              <w:spacing w:after="40"/>
            </w:pPr>
            <w:r/>
            <w:r>
              <w:rPr>
                <w:rFonts w:ascii="Arial" w:hAnsi="Arial"/>
                <w:b w:val="0"/>
                <w:sz w:val="14"/>
              </w:rPr>
              <w:t>Expected number/schedule is followed; IDs are unique and required attributes are valid.</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TC-04</w:t>
            </w:r>
          </w:p>
        </w:tc>
        <w:tc>
          <w:tcPr>
            <w:tcW w:type="dxa" w:w="1704"/>
            <w:vAlign w:val="center"/>
          </w:tcPr>
          <w:p>
            <w:pPr>
              <w:spacing w:after="40"/>
            </w:pPr>
            <w:r/>
            <w:r>
              <w:rPr>
                <w:rFonts w:ascii="Arial" w:hAnsi="Arial"/>
                <w:b w:val="0"/>
                <w:sz w:val="14"/>
              </w:rPr>
              <w:t>FR-04, FR-11</w:t>
            </w:r>
          </w:p>
        </w:tc>
        <w:tc>
          <w:tcPr>
            <w:tcW w:type="dxa" w:w="1704"/>
            <w:vAlign w:val="center"/>
          </w:tcPr>
          <w:p>
            <w:pPr>
              <w:spacing w:after="40"/>
            </w:pPr>
            <w:r/>
            <w:r>
              <w:rPr>
                <w:rFonts w:ascii="Arial" w:hAnsi="Arial"/>
                <w:b w:val="0"/>
                <w:sz w:val="14"/>
              </w:rPr>
              <w:t>Lane capacity enforcement</w:t>
            </w:r>
          </w:p>
        </w:tc>
        <w:tc>
          <w:tcPr>
            <w:tcW w:type="dxa" w:w="1704"/>
            <w:vAlign w:val="center"/>
          </w:tcPr>
          <w:p>
            <w:pPr>
              <w:spacing w:after="40"/>
            </w:pPr>
            <w:r/>
            <w:r>
              <w:rPr>
                <w:rFonts w:ascii="Arial" w:hAnsi="Arial"/>
                <w:b w:val="0"/>
                <w:sz w:val="14"/>
              </w:rPr>
              <w:t>Fill an entry/downstream lane to its configured capacity and attempt one more entry.</w:t>
            </w:r>
          </w:p>
        </w:tc>
        <w:tc>
          <w:tcPr>
            <w:tcW w:type="dxa" w:w="1704"/>
            <w:vAlign w:val="center"/>
          </w:tcPr>
          <w:p>
            <w:pPr>
              <w:spacing w:after="40"/>
            </w:pPr>
            <w:r/>
            <w:r>
              <w:rPr>
                <w:rFonts w:ascii="Arial" w:hAnsi="Arial"/>
                <w:b w:val="0"/>
                <w:sz w:val="14"/>
              </w:rPr>
              <w:t>Additional vehicle is held/rejected safely; occupancy never exceeds capacity.</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TC-05</w:t>
            </w:r>
          </w:p>
        </w:tc>
        <w:tc>
          <w:tcPr>
            <w:tcW w:type="dxa" w:w="1704"/>
            <w:vAlign w:val="center"/>
          </w:tcPr>
          <w:p>
            <w:pPr>
              <w:spacing w:after="40"/>
            </w:pPr>
            <w:r/>
            <w:r>
              <w:rPr>
                <w:rFonts w:ascii="Arial" w:hAnsi="Arial"/>
                <w:b w:val="0"/>
                <w:sz w:val="14"/>
              </w:rPr>
              <w:t>FR-05, FR-06</w:t>
            </w:r>
          </w:p>
        </w:tc>
        <w:tc>
          <w:tcPr>
            <w:tcW w:type="dxa" w:w="1704"/>
            <w:vAlign w:val="center"/>
          </w:tcPr>
          <w:p>
            <w:pPr>
              <w:spacing w:after="40"/>
            </w:pPr>
            <w:r/>
            <w:r>
              <w:rPr>
                <w:rFonts w:ascii="Arial" w:hAnsi="Arial"/>
                <w:b w:val="0"/>
                <w:sz w:val="14"/>
              </w:rPr>
              <w:t>Signal phase safety</w:t>
            </w:r>
          </w:p>
        </w:tc>
        <w:tc>
          <w:tcPr>
            <w:tcW w:type="dxa" w:w="1704"/>
            <w:vAlign w:val="center"/>
          </w:tcPr>
          <w:p>
            <w:pPr>
              <w:spacing w:after="40"/>
            </w:pPr>
            <w:r/>
            <w:r>
              <w:rPr>
                <w:rFonts w:ascii="Arial" w:hAnsi="Arial"/>
                <w:b w:val="0"/>
                <w:sz w:val="14"/>
              </w:rPr>
              <w:t>Run multiple ticks through a configured intersection and record each phase transition.</w:t>
            </w:r>
          </w:p>
        </w:tc>
        <w:tc>
          <w:tcPr>
            <w:tcW w:type="dxa" w:w="1704"/>
            <w:vAlign w:val="center"/>
          </w:tcPr>
          <w:p>
            <w:pPr>
              <w:spacing w:after="40"/>
            </w:pPr>
            <w:r/>
            <w:r>
              <w:rPr>
                <w:rFonts w:ascii="Arial" w:hAnsi="Arial"/>
                <w:b w:val="0"/>
                <w:sz w:val="14"/>
              </w:rPr>
              <w:t>Each intersection has a valid state; conflicting greens never occur.</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TC-06</w:t>
            </w:r>
          </w:p>
        </w:tc>
        <w:tc>
          <w:tcPr>
            <w:tcW w:type="dxa" w:w="1704"/>
            <w:vAlign w:val="center"/>
          </w:tcPr>
          <w:p>
            <w:pPr>
              <w:spacing w:after="40"/>
            </w:pPr>
            <w:r/>
            <w:r>
              <w:rPr>
                <w:rFonts w:ascii="Arial" w:hAnsi="Arial"/>
                <w:b w:val="0"/>
                <w:sz w:val="14"/>
              </w:rPr>
              <w:t>FR-07</w:t>
            </w:r>
          </w:p>
        </w:tc>
        <w:tc>
          <w:tcPr>
            <w:tcW w:type="dxa" w:w="1704"/>
            <w:vAlign w:val="center"/>
          </w:tcPr>
          <w:p>
            <w:pPr>
              <w:spacing w:after="40"/>
            </w:pPr>
            <w:r/>
            <w:r>
              <w:rPr>
                <w:rFonts w:ascii="Arial" w:hAnsi="Arial"/>
                <w:b w:val="0"/>
                <w:sz w:val="14"/>
              </w:rPr>
              <w:t>Adaptive green bounds</w:t>
            </w:r>
          </w:p>
        </w:tc>
        <w:tc>
          <w:tcPr>
            <w:tcW w:type="dxa" w:w="1704"/>
            <w:vAlign w:val="center"/>
          </w:tcPr>
          <w:p>
            <w:pPr>
              <w:spacing w:after="40"/>
            </w:pPr>
            <w:r/>
            <w:r>
              <w:rPr>
                <w:rFonts w:ascii="Arial" w:hAnsi="Arial"/>
                <w:b w:val="0"/>
                <w:sz w:val="14"/>
              </w:rPr>
              <w:t>Run low- and high-queue scenarios with configured minimum/maximum green durations.</w:t>
            </w:r>
          </w:p>
        </w:tc>
        <w:tc>
          <w:tcPr>
            <w:tcW w:type="dxa" w:w="1704"/>
            <w:vAlign w:val="center"/>
          </w:tcPr>
          <w:p>
            <w:pPr>
              <w:spacing w:after="40"/>
            </w:pPr>
            <w:r/>
            <w:r>
              <w:rPr>
                <w:rFonts w:ascii="Arial" w:hAnsi="Arial"/>
                <w:b w:val="0"/>
                <w:sz w:val="14"/>
              </w:rPr>
              <w:t>Green duration responds to queue conditions and remains within configured bounds.</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TC-07</w:t>
            </w:r>
          </w:p>
        </w:tc>
        <w:tc>
          <w:tcPr>
            <w:tcW w:type="dxa" w:w="1704"/>
            <w:vAlign w:val="center"/>
          </w:tcPr>
          <w:p>
            <w:pPr>
              <w:spacing w:after="40"/>
            </w:pPr>
            <w:r/>
            <w:r>
              <w:rPr>
                <w:rFonts w:ascii="Arial" w:hAnsi="Arial"/>
                <w:b w:val="0"/>
                <w:sz w:val="14"/>
              </w:rPr>
              <w:t>FR-08</w:t>
            </w:r>
          </w:p>
        </w:tc>
        <w:tc>
          <w:tcPr>
            <w:tcW w:type="dxa" w:w="1704"/>
            <w:vAlign w:val="center"/>
          </w:tcPr>
          <w:p>
            <w:pPr>
              <w:spacing w:after="40"/>
            </w:pPr>
            <w:r/>
            <w:r>
              <w:rPr>
                <w:rFonts w:ascii="Arial" w:hAnsi="Arial"/>
                <w:b w:val="0"/>
                <w:sz w:val="14"/>
              </w:rPr>
              <w:t>Emergency-priority safety</w:t>
            </w:r>
          </w:p>
        </w:tc>
        <w:tc>
          <w:tcPr>
            <w:tcW w:type="dxa" w:w="1704"/>
            <w:vAlign w:val="center"/>
          </w:tcPr>
          <w:p>
            <w:pPr>
              <w:spacing w:after="40"/>
            </w:pPr>
            <w:r/>
            <w:r>
              <w:rPr>
                <w:rFonts w:ascii="Arial" w:hAnsi="Arial"/>
                <w:b w:val="0"/>
                <w:sz w:val="14"/>
              </w:rPr>
              <w:t>Submit a valid emergency-priority request while ordinary traffic is active.</w:t>
            </w:r>
          </w:p>
        </w:tc>
        <w:tc>
          <w:tcPr>
            <w:tcW w:type="dxa" w:w="1704"/>
            <w:vAlign w:val="center"/>
          </w:tcPr>
          <w:p>
            <w:pPr>
              <w:spacing w:after="40"/>
            </w:pPr>
            <w:r/>
            <w:r>
              <w:rPr>
                <w:rFonts w:ascii="Arial" w:hAnsi="Arial"/>
                <w:b w:val="0"/>
                <w:sz w:val="14"/>
              </w:rPr>
              <w:t>Priority is handled according to policy without enabling conflicting green phases.</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TC-08</w:t>
            </w:r>
          </w:p>
        </w:tc>
        <w:tc>
          <w:tcPr>
            <w:tcW w:type="dxa" w:w="1704"/>
            <w:vAlign w:val="center"/>
          </w:tcPr>
          <w:p>
            <w:pPr>
              <w:spacing w:after="40"/>
            </w:pPr>
            <w:r/>
            <w:r>
              <w:rPr>
                <w:rFonts w:ascii="Arial" w:hAnsi="Arial"/>
                <w:b w:val="0"/>
                <w:sz w:val="14"/>
              </w:rPr>
              <w:t>FR-09, FR-12</w:t>
            </w:r>
          </w:p>
        </w:tc>
        <w:tc>
          <w:tcPr>
            <w:tcW w:type="dxa" w:w="1704"/>
            <w:vAlign w:val="center"/>
          </w:tcPr>
          <w:p>
            <w:pPr>
              <w:spacing w:after="40"/>
            </w:pPr>
            <w:r/>
            <w:r>
              <w:rPr>
                <w:rFonts w:ascii="Arial" w:hAnsi="Arial"/>
                <w:b w:val="0"/>
                <w:sz w:val="14"/>
              </w:rPr>
              <w:t>Route selection</w:t>
            </w:r>
          </w:p>
        </w:tc>
        <w:tc>
          <w:tcPr>
            <w:tcW w:type="dxa" w:w="1704"/>
            <w:vAlign w:val="center"/>
          </w:tcPr>
          <w:p>
            <w:pPr>
              <w:spacing w:after="40"/>
            </w:pPr>
            <w:r/>
            <w:r>
              <w:rPr>
                <w:rFonts w:ascii="Arial" w:hAnsi="Arial"/>
                <w:b w:val="0"/>
                <w:sz w:val="14"/>
              </w:rPr>
              <w:t>Create two connected routes with different configured costs and request a route.</w:t>
            </w:r>
          </w:p>
        </w:tc>
        <w:tc>
          <w:tcPr>
            <w:tcW w:type="dxa" w:w="1704"/>
            <w:vAlign w:val="center"/>
          </w:tcPr>
          <w:p>
            <w:pPr>
              <w:spacing w:after="40"/>
            </w:pPr>
            <w:r/>
            <w:r>
              <w:rPr>
                <w:rFonts w:ascii="Arial" w:hAnsi="Arial"/>
                <w:b w:val="0"/>
                <w:sz w:val="14"/>
              </w:rPr>
              <w:t>Chosen route uses connected edges and minimizes the configured cost; unreachable destination is handled safely.</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TC-09</w:t>
            </w:r>
          </w:p>
        </w:tc>
        <w:tc>
          <w:tcPr>
            <w:tcW w:type="dxa" w:w="1704"/>
            <w:vAlign w:val="center"/>
          </w:tcPr>
          <w:p>
            <w:pPr>
              <w:spacing w:after="40"/>
            </w:pPr>
            <w:r/>
            <w:r>
              <w:rPr>
                <w:rFonts w:ascii="Arial" w:hAnsi="Arial"/>
                <w:b w:val="0"/>
                <w:sz w:val="14"/>
              </w:rPr>
              <w:t>FR-13</w:t>
            </w:r>
          </w:p>
        </w:tc>
        <w:tc>
          <w:tcPr>
            <w:tcW w:type="dxa" w:w="1704"/>
            <w:vAlign w:val="center"/>
          </w:tcPr>
          <w:p>
            <w:pPr>
              <w:spacing w:after="40"/>
            </w:pPr>
            <w:r/>
            <w:r>
              <w:rPr>
                <w:rFonts w:ascii="Arial" w:hAnsi="Arial"/>
                <w:b w:val="0"/>
                <w:sz w:val="14"/>
              </w:rPr>
              <w:t>Congestion threshold</w:t>
            </w:r>
          </w:p>
        </w:tc>
        <w:tc>
          <w:tcPr>
            <w:tcW w:type="dxa" w:w="1704"/>
            <w:vAlign w:val="center"/>
          </w:tcPr>
          <w:p>
            <w:pPr>
              <w:spacing w:after="40"/>
            </w:pPr>
            <w:r/>
            <w:r>
              <w:rPr>
                <w:rFonts w:ascii="Arial" w:hAnsi="Arial"/>
                <w:b w:val="0"/>
                <w:sz w:val="14"/>
              </w:rPr>
              <w:t>Set queue length/occupancy below, at, and above the configured threshold.</w:t>
            </w:r>
          </w:p>
        </w:tc>
        <w:tc>
          <w:tcPr>
            <w:tcW w:type="dxa" w:w="1704"/>
            <w:vAlign w:val="center"/>
          </w:tcPr>
          <w:p>
            <w:pPr>
              <w:spacing w:after="40"/>
            </w:pPr>
            <w:r/>
            <w:r>
              <w:rPr>
                <w:rFonts w:ascii="Arial" w:hAnsi="Arial"/>
                <w:b w:val="0"/>
                <w:sz w:val="14"/>
              </w:rPr>
              <w:t>Detection follows the configured boundary condition consistently.</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TC-10</w:t>
            </w:r>
          </w:p>
        </w:tc>
        <w:tc>
          <w:tcPr>
            <w:tcW w:type="dxa" w:w="1704"/>
            <w:vAlign w:val="center"/>
          </w:tcPr>
          <w:p>
            <w:pPr>
              <w:spacing w:after="40"/>
            </w:pPr>
            <w:r/>
            <w:r>
              <w:rPr>
                <w:rFonts w:ascii="Arial" w:hAnsi="Arial"/>
                <w:b w:val="0"/>
                <w:sz w:val="14"/>
              </w:rPr>
              <w:t>FR-14, FR-15</w:t>
            </w:r>
          </w:p>
        </w:tc>
        <w:tc>
          <w:tcPr>
            <w:tcW w:type="dxa" w:w="1704"/>
            <w:vAlign w:val="center"/>
          </w:tcPr>
          <w:p>
            <w:pPr>
              <w:spacing w:after="40"/>
            </w:pPr>
            <w:r/>
            <w:r>
              <w:rPr>
                <w:rFonts w:ascii="Arial" w:hAnsi="Arial"/>
                <w:b w:val="0"/>
                <w:sz w:val="14"/>
              </w:rPr>
              <w:t>Incident and rerouting</w:t>
            </w:r>
          </w:p>
        </w:tc>
        <w:tc>
          <w:tcPr>
            <w:tcW w:type="dxa" w:w="1704"/>
            <w:vAlign w:val="center"/>
          </w:tcPr>
          <w:p>
            <w:pPr>
              <w:spacing w:after="40"/>
            </w:pPr>
            <w:r/>
            <w:r>
              <w:rPr>
                <w:rFonts w:ascii="Arial" w:hAnsi="Arial"/>
                <w:b w:val="0"/>
                <w:sz w:val="14"/>
              </w:rPr>
              <w:t>Block a road used by a route; run traffic management with an alternate route and then with no alternate route.</w:t>
            </w:r>
          </w:p>
        </w:tc>
        <w:tc>
          <w:tcPr>
            <w:tcW w:type="dxa" w:w="1704"/>
            <w:vAlign w:val="center"/>
          </w:tcPr>
          <w:p>
            <w:pPr>
              <w:spacing w:after="40"/>
            </w:pPr>
            <w:r/>
            <w:r>
              <w:rPr>
                <w:rFonts w:ascii="Arial" w:hAnsi="Arial"/>
                <w:b w:val="0"/>
                <w:sz w:val="14"/>
              </w:rPr>
              <w:t>Blocked segment is unavailable; alternate route is selected when possible; no-route case does not crash or permit prohibited movement.</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TC-11</w:t>
            </w:r>
          </w:p>
        </w:tc>
        <w:tc>
          <w:tcPr>
            <w:tcW w:type="dxa" w:w="1704"/>
            <w:vAlign w:val="center"/>
          </w:tcPr>
          <w:p>
            <w:pPr>
              <w:spacing w:after="40"/>
            </w:pPr>
            <w:r/>
            <w:r>
              <w:rPr>
                <w:rFonts w:ascii="Arial" w:hAnsi="Arial"/>
                <w:b w:val="0"/>
                <w:sz w:val="14"/>
              </w:rPr>
              <w:t>FR-16, FR-17</w:t>
            </w:r>
          </w:p>
        </w:tc>
        <w:tc>
          <w:tcPr>
            <w:tcW w:type="dxa" w:w="1704"/>
            <w:vAlign w:val="center"/>
          </w:tcPr>
          <w:p>
            <w:pPr>
              <w:spacing w:after="40"/>
            </w:pPr>
            <w:r/>
            <w:r>
              <w:rPr>
                <w:rFonts w:ascii="Arial" w:hAnsi="Arial"/>
                <w:b w:val="0"/>
                <w:sz w:val="14"/>
              </w:rPr>
              <w:t>Metrics and report export</w:t>
            </w:r>
          </w:p>
        </w:tc>
        <w:tc>
          <w:tcPr>
            <w:tcW w:type="dxa" w:w="1704"/>
            <w:vAlign w:val="center"/>
          </w:tcPr>
          <w:p>
            <w:pPr>
              <w:spacing w:after="40"/>
            </w:pPr>
            <w:r/>
            <w:r>
              <w:rPr>
                <w:rFonts w:ascii="Arial" w:hAnsi="Arial"/>
                <w:b w:val="0"/>
                <w:sz w:val="14"/>
              </w:rPr>
              <w:t>Run a small scenario with known arrivals/completions; export text and CSV reports.</w:t>
            </w:r>
          </w:p>
        </w:tc>
        <w:tc>
          <w:tcPr>
            <w:tcW w:type="dxa" w:w="1704"/>
            <w:vAlign w:val="center"/>
          </w:tcPr>
          <w:p>
            <w:pPr>
              <w:spacing w:after="40"/>
            </w:pPr>
            <w:r/>
            <w:r>
              <w:rPr>
                <w:rFonts w:ascii="Arial" w:hAnsi="Arial"/>
                <w:b w:val="0"/>
                <w:sz w:val="14"/>
              </w:rPr>
              <w:t>Report includes throughput, waiting time, queue statistics, completed/unfinished trips; values match recorded events.</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TC-12</w:t>
            </w:r>
          </w:p>
        </w:tc>
        <w:tc>
          <w:tcPr>
            <w:tcW w:type="dxa" w:w="1704"/>
            <w:vAlign w:val="center"/>
          </w:tcPr>
          <w:p>
            <w:pPr>
              <w:spacing w:after="40"/>
            </w:pPr>
            <w:r/>
            <w:r>
              <w:rPr>
                <w:rFonts w:ascii="Arial" w:hAnsi="Arial"/>
                <w:b w:val="0"/>
                <w:sz w:val="14"/>
              </w:rPr>
              <w:t>NFR-03</w:t>
            </w:r>
          </w:p>
        </w:tc>
        <w:tc>
          <w:tcPr>
            <w:tcW w:type="dxa" w:w="1704"/>
            <w:vAlign w:val="center"/>
          </w:tcPr>
          <w:p>
            <w:pPr>
              <w:spacing w:after="40"/>
            </w:pPr>
            <w:r/>
            <w:r>
              <w:rPr>
                <w:rFonts w:ascii="Arial" w:hAnsi="Arial"/>
                <w:b w:val="0"/>
                <w:sz w:val="14"/>
              </w:rPr>
              <w:t>Performance benchmark</w:t>
            </w:r>
          </w:p>
        </w:tc>
        <w:tc>
          <w:tcPr>
            <w:tcW w:type="dxa" w:w="1704"/>
            <w:vAlign w:val="center"/>
          </w:tcPr>
          <w:p>
            <w:pPr>
              <w:spacing w:after="40"/>
            </w:pPr>
            <w:r/>
            <w:r>
              <w:rPr>
                <w:rFonts w:ascii="Arial" w:hAnsi="Arial"/>
                <w:b w:val="0"/>
                <w:sz w:val="14"/>
              </w:rPr>
              <w:t>Run at least four intersections and 500 vehicles; record elapsed time and machine/build details.</w:t>
            </w:r>
          </w:p>
        </w:tc>
        <w:tc>
          <w:tcPr>
            <w:tcW w:type="dxa" w:w="1704"/>
            <w:vAlign w:val="center"/>
          </w:tcPr>
          <w:p>
            <w:pPr>
              <w:spacing w:after="40"/>
            </w:pPr>
            <w:r/>
            <w:r>
              <w:rPr>
                <w:rFonts w:ascii="Arial" w:hAnsi="Arial"/>
                <w:b w:val="0"/>
                <w:sz w:val="14"/>
              </w:rPr>
              <w:t>Simulation completes without noticeable hangs; elapsed time and environment are recorded for evaluation.</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TC-13</w:t>
            </w:r>
          </w:p>
        </w:tc>
        <w:tc>
          <w:tcPr>
            <w:tcW w:type="dxa" w:w="1704"/>
            <w:vAlign w:val="center"/>
          </w:tcPr>
          <w:p>
            <w:pPr>
              <w:spacing w:after="40"/>
            </w:pPr>
            <w:r/>
            <w:r>
              <w:rPr>
                <w:rFonts w:ascii="Arial" w:hAnsi="Arial"/>
                <w:b w:val="0"/>
                <w:sz w:val="14"/>
              </w:rPr>
              <w:t>FR-18, NFR-10</w:t>
            </w:r>
          </w:p>
        </w:tc>
        <w:tc>
          <w:tcPr>
            <w:tcW w:type="dxa" w:w="1704"/>
            <w:vAlign w:val="center"/>
          </w:tcPr>
          <w:p>
            <w:pPr>
              <w:spacing w:after="40"/>
            </w:pPr>
            <w:r/>
            <w:r>
              <w:rPr>
                <w:rFonts w:ascii="Arial" w:hAnsi="Arial"/>
                <w:b w:val="0"/>
                <w:sz w:val="14"/>
              </w:rPr>
              <w:t>Reproducibility</w:t>
            </w:r>
          </w:p>
        </w:tc>
        <w:tc>
          <w:tcPr>
            <w:tcW w:type="dxa" w:w="1704"/>
            <w:vAlign w:val="center"/>
          </w:tcPr>
          <w:p>
            <w:pPr>
              <w:spacing w:after="40"/>
            </w:pPr>
            <w:r/>
            <w:r>
              <w:rPr>
                <w:rFonts w:ascii="Arial" w:hAnsi="Arial"/>
                <w:b w:val="0"/>
                <w:sz w:val="14"/>
              </w:rPr>
              <w:t>Run identical configuration twice with the same seed and compare generated traffic and final metrics.</w:t>
            </w:r>
          </w:p>
        </w:tc>
        <w:tc>
          <w:tcPr>
            <w:tcW w:type="dxa" w:w="1704"/>
            <w:vAlign w:val="center"/>
          </w:tcPr>
          <w:p>
            <w:pPr>
              <w:spacing w:after="40"/>
            </w:pPr>
            <w:r/>
            <w:r>
              <w:rPr>
                <w:rFonts w:ascii="Arial" w:hAnsi="Arial"/>
                <w:b w:val="0"/>
                <w:sz w:val="14"/>
              </w:rPr>
              <w:t>Equivalent traffic/results are produced and seed is recorded or printed.</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TC-14</w:t>
            </w:r>
          </w:p>
        </w:tc>
        <w:tc>
          <w:tcPr>
            <w:tcW w:type="dxa" w:w="1704"/>
            <w:vAlign w:val="center"/>
          </w:tcPr>
          <w:p>
            <w:pPr>
              <w:spacing w:after="40"/>
            </w:pPr>
            <w:r/>
            <w:r>
              <w:rPr>
                <w:rFonts w:ascii="Arial" w:hAnsi="Arial"/>
                <w:b w:val="0"/>
                <w:sz w:val="14"/>
              </w:rPr>
              <w:t>NFR-01, NFR-02</w:t>
            </w:r>
          </w:p>
        </w:tc>
        <w:tc>
          <w:tcPr>
            <w:tcW w:type="dxa" w:w="1704"/>
            <w:vAlign w:val="center"/>
          </w:tcPr>
          <w:p>
            <w:pPr>
              <w:spacing w:after="40"/>
            </w:pPr>
            <w:r/>
            <w:r>
              <w:rPr>
                <w:rFonts w:ascii="Arial" w:hAnsi="Arial"/>
                <w:b w:val="0"/>
                <w:sz w:val="14"/>
              </w:rPr>
              <w:t>Modularity/testability</w:t>
            </w:r>
          </w:p>
        </w:tc>
        <w:tc>
          <w:tcPr>
            <w:tcW w:type="dxa" w:w="1704"/>
            <w:vAlign w:val="center"/>
          </w:tcPr>
          <w:p>
            <w:pPr>
              <w:spacing w:after="40"/>
            </w:pPr>
            <w:r/>
            <w:r>
              <w:rPr>
                <w:rFonts w:ascii="Arial" w:hAnsi="Arial"/>
                <w:b w:val="0"/>
                <w:sz w:val="14"/>
              </w:rPr>
              <w:t>Build and run module-level tests without starting the full simulation; review interfaces for uncontrolled global state.</w:t>
            </w:r>
          </w:p>
        </w:tc>
        <w:tc>
          <w:tcPr>
            <w:tcW w:type="dxa" w:w="1704"/>
            <w:vAlign w:val="center"/>
          </w:tcPr>
          <w:p>
            <w:pPr>
              <w:spacing w:after="40"/>
            </w:pPr>
            <w:r/>
            <w:r>
              <w:rPr>
                <w:rFonts w:ascii="Arial" w:hAnsi="Arial"/>
                <w:b w:val="0"/>
                <w:sz w:val="14"/>
              </w:rPr>
              <w:t>Modules can be tested independently and interfaces are explicit; findings documented.</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TC-15</w:t>
            </w:r>
          </w:p>
        </w:tc>
        <w:tc>
          <w:tcPr>
            <w:tcW w:type="dxa" w:w="1704"/>
            <w:vAlign w:val="center"/>
          </w:tcPr>
          <w:p>
            <w:pPr>
              <w:spacing w:after="40"/>
            </w:pPr>
            <w:r/>
            <w:r>
              <w:rPr>
                <w:rFonts w:ascii="Arial" w:hAnsi="Arial"/>
                <w:b w:val="0"/>
                <w:sz w:val="14"/>
              </w:rPr>
              <w:t>NFR-05, NFR-09</w:t>
            </w:r>
          </w:p>
        </w:tc>
        <w:tc>
          <w:tcPr>
            <w:tcW w:type="dxa" w:w="1704"/>
            <w:vAlign w:val="center"/>
          </w:tcPr>
          <w:p>
            <w:pPr>
              <w:spacing w:after="40"/>
            </w:pPr>
            <w:r/>
            <w:r>
              <w:rPr>
                <w:rFonts w:ascii="Arial" w:hAnsi="Arial"/>
                <w:b w:val="0"/>
                <w:sz w:val="14"/>
              </w:rPr>
              <w:t>Build and code quality</w:t>
            </w:r>
          </w:p>
        </w:tc>
        <w:tc>
          <w:tcPr>
            <w:tcW w:type="dxa" w:w="1704"/>
            <w:vAlign w:val="center"/>
          </w:tcPr>
          <w:p>
            <w:pPr>
              <w:spacing w:after="40"/>
            </w:pPr>
            <w:r/>
            <w:r>
              <w:rPr>
                <w:rFonts w:ascii="Arial" w:hAnsi="Arial"/>
                <w:b w:val="0"/>
                <w:sz w:val="14"/>
              </w:rPr>
              <w:t>Configure/build with C++17 and CMake on Linux with warnings enabled; run available static analysis.</w:t>
            </w:r>
          </w:p>
        </w:tc>
        <w:tc>
          <w:tcPr>
            <w:tcW w:type="dxa" w:w="1704"/>
            <w:vAlign w:val="center"/>
          </w:tcPr>
          <w:p>
            <w:pPr>
              <w:spacing w:after="40"/>
            </w:pPr>
            <w:r/>
            <w:r>
              <w:rPr>
                <w:rFonts w:ascii="Arial" w:hAnsi="Arial"/>
                <w:b w:val="0"/>
                <w:sz w:val="14"/>
              </w:rPr>
              <w:t>Build succeeds; warnings/findings are captured and critical issues addressed or documented.</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TC-16</w:t>
            </w:r>
          </w:p>
        </w:tc>
        <w:tc>
          <w:tcPr>
            <w:tcW w:type="dxa" w:w="1704"/>
            <w:vAlign w:val="center"/>
          </w:tcPr>
          <w:p>
            <w:pPr>
              <w:spacing w:after="40"/>
            </w:pPr>
            <w:r/>
            <w:r>
              <w:rPr>
                <w:rFonts w:ascii="Arial" w:hAnsi="Arial"/>
                <w:b w:val="0"/>
                <w:sz w:val="14"/>
              </w:rPr>
              <w:t>NFR-06</w:t>
            </w:r>
          </w:p>
        </w:tc>
        <w:tc>
          <w:tcPr>
            <w:tcW w:type="dxa" w:w="1704"/>
            <w:vAlign w:val="center"/>
          </w:tcPr>
          <w:p>
            <w:pPr>
              <w:spacing w:after="40"/>
            </w:pPr>
            <w:r/>
            <w:r>
              <w:rPr>
                <w:rFonts w:ascii="Arial" w:hAnsi="Arial"/>
                <w:b w:val="0"/>
                <w:sz w:val="14"/>
              </w:rPr>
              <w:t>Console usability</w:t>
            </w:r>
          </w:p>
        </w:tc>
        <w:tc>
          <w:tcPr>
            <w:tcW w:type="dxa" w:w="1704"/>
            <w:vAlign w:val="center"/>
          </w:tcPr>
          <w:p>
            <w:pPr>
              <w:spacing w:after="40"/>
            </w:pPr>
            <w:r/>
            <w:r>
              <w:rPr>
                <w:rFonts w:ascii="Arial" w:hAnsi="Arial"/>
                <w:b w:val="0"/>
                <w:sz w:val="14"/>
              </w:rPr>
              <w:t>Ask a tester unfamiliar with the scenario to load, run, inspect status and export a report using console prompts.</w:t>
            </w:r>
          </w:p>
        </w:tc>
        <w:tc>
          <w:tcPr>
            <w:tcW w:type="dxa" w:w="1704"/>
            <w:vAlign w:val="center"/>
          </w:tcPr>
          <w:p>
            <w:pPr>
              <w:spacing w:after="40"/>
            </w:pPr>
            <w:r/>
            <w:r>
              <w:rPr>
                <w:rFonts w:ascii="Arial" w:hAnsi="Arial"/>
                <w:b w:val="0"/>
                <w:sz w:val="14"/>
              </w:rPr>
              <w:t>Commands, errors, metric labels and report outputs are understandable and consistent.</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TC-17</w:t>
            </w:r>
          </w:p>
        </w:tc>
        <w:tc>
          <w:tcPr>
            <w:tcW w:type="dxa" w:w="1704"/>
            <w:vAlign w:val="center"/>
          </w:tcPr>
          <w:p>
            <w:pPr>
              <w:spacing w:after="40"/>
            </w:pPr>
            <w:r/>
            <w:r>
              <w:rPr>
                <w:rFonts w:ascii="Arial" w:hAnsi="Arial"/>
                <w:b w:val="0"/>
                <w:sz w:val="14"/>
              </w:rPr>
              <w:t>NFR-07</w:t>
            </w:r>
          </w:p>
        </w:tc>
        <w:tc>
          <w:tcPr>
            <w:tcW w:type="dxa" w:w="1704"/>
            <w:vAlign w:val="center"/>
          </w:tcPr>
          <w:p>
            <w:pPr>
              <w:spacing w:after="40"/>
            </w:pPr>
            <w:r/>
            <w:r>
              <w:rPr>
                <w:rFonts w:ascii="Arial" w:hAnsi="Arial"/>
                <w:b w:val="0"/>
                <w:sz w:val="14"/>
              </w:rPr>
              <w:t>Input robustness/security</w:t>
            </w:r>
          </w:p>
        </w:tc>
        <w:tc>
          <w:tcPr>
            <w:tcW w:type="dxa" w:w="1704"/>
            <w:vAlign w:val="center"/>
          </w:tcPr>
          <w:p>
            <w:pPr>
              <w:spacing w:after="40"/>
            </w:pPr>
            <w:r/>
            <w:r>
              <w:rPr>
                <w:rFonts w:ascii="Arial" w:hAnsi="Arial"/>
                <w:b w:val="0"/>
                <w:sz w:val="14"/>
              </w:rPr>
              <w:t>Provide malformed values, extreme timings, unknown IDs and invalid output paths; run under sanitizers if available.</w:t>
            </w:r>
          </w:p>
        </w:tc>
        <w:tc>
          <w:tcPr>
            <w:tcW w:type="dxa" w:w="1704"/>
            <w:vAlign w:val="center"/>
          </w:tcPr>
          <w:p>
            <w:pPr>
              <w:spacing w:after="40"/>
            </w:pPr>
            <w:r/>
            <w:r>
              <w:rPr>
                <w:rFonts w:ascii="Arial" w:hAnsi="Arial"/>
                <w:b w:val="0"/>
                <w:sz w:val="14"/>
              </w:rPr>
              <w:t>Invalid inputs are rejected safely; no crash, unsafe memory behavior, or resource leak is observed.</w:t>
            </w:r>
          </w:p>
        </w:tc>
        <w:tc>
          <w:tcPr>
            <w:tcW w:type="dxa" w:w="1704"/>
            <w:vAlign w:val="center"/>
          </w:tcPr>
          <w:p>
            <w:pPr>
              <w:spacing w:after="40"/>
            </w:pPr>
            <w:r/>
            <w:r>
              <w:rPr>
                <w:rFonts w:ascii="Arial" w:hAnsi="Arial"/>
                <w:b w:val="0"/>
                <w:sz w:val="14"/>
              </w:rPr>
              <w:t>Pending</w:t>
            </w:r>
          </w:p>
        </w:tc>
      </w:tr>
      <w:tr>
        <w:tc>
          <w:tcPr>
            <w:tcW w:type="dxa" w:w="1704"/>
            <w:vAlign w:val="center"/>
          </w:tcPr>
          <w:p>
            <w:pPr>
              <w:spacing w:after="40"/>
            </w:pPr>
            <w:r/>
            <w:r>
              <w:rPr>
                <w:rFonts w:ascii="Arial" w:hAnsi="Arial"/>
                <w:b w:val="0"/>
                <w:sz w:val="14"/>
              </w:rPr>
              <w:t>TC-18</w:t>
            </w:r>
          </w:p>
        </w:tc>
        <w:tc>
          <w:tcPr>
            <w:tcW w:type="dxa" w:w="1704"/>
            <w:vAlign w:val="center"/>
          </w:tcPr>
          <w:p>
            <w:pPr>
              <w:spacing w:after="40"/>
            </w:pPr>
            <w:r/>
            <w:r>
              <w:rPr>
                <w:rFonts w:ascii="Arial" w:hAnsi="Arial"/>
                <w:b w:val="0"/>
                <w:sz w:val="14"/>
              </w:rPr>
              <w:t>NFR-08</w:t>
            </w:r>
          </w:p>
        </w:tc>
        <w:tc>
          <w:tcPr>
            <w:tcW w:type="dxa" w:w="1704"/>
            <w:vAlign w:val="center"/>
          </w:tcPr>
          <w:p>
            <w:pPr>
              <w:spacing w:after="40"/>
            </w:pPr>
            <w:r/>
            <w:r>
              <w:rPr>
                <w:rFonts w:ascii="Arial" w:hAnsi="Arial"/>
                <w:b w:val="0"/>
                <w:sz w:val="14"/>
              </w:rPr>
              <w:t>Traceability completeness</w:t>
            </w:r>
          </w:p>
        </w:tc>
        <w:tc>
          <w:tcPr>
            <w:tcW w:type="dxa" w:w="1704"/>
            <w:vAlign w:val="center"/>
          </w:tcPr>
          <w:p>
            <w:pPr>
              <w:spacing w:after="40"/>
            </w:pPr>
            <w:r/>
            <w:r>
              <w:rPr>
                <w:rFonts w:ascii="Arial" w:hAnsi="Arial"/>
                <w:b w:val="0"/>
                <w:sz w:val="14"/>
              </w:rPr>
              <w:t>Review each implemented FR against source file/module and at least one test ID in the RTM.</w:t>
            </w:r>
          </w:p>
        </w:tc>
        <w:tc>
          <w:tcPr>
            <w:tcW w:type="dxa" w:w="1704"/>
            <w:vAlign w:val="center"/>
          </w:tcPr>
          <w:p>
            <w:pPr>
              <w:spacing w:after="40"/>
            </w:pPr>
            <w:r/>
            <w:r>
              <w:rPr>
                <w:rFonts w:ascii="Arial" w:hAnsi="Arial"/>
                <w:b w:val="0"/>
                <w:sz w:val="14"/>
              </w:rPr>
              <w:t>Every implemented FR has a source reference and test ID; gaps are recorded for correction.</w:t>
            </w:r>
          </w:p>
        </w:tc>
        <w:tc>
          <w:tcPr>
            <w:tcW w:type="dxa" w:w="1704"/>
            <w:vAlign w:val="center"/>
          </w:tcPr>
          <w:p>
            <w:pPr>
              <w:spacing w:after="40"/>
            </w:pPr>
            <w:r/>
            <w:r>
              <w:rPr>
                <w:rFonts w:ascii="Arial" w:hAnsi="Arial"/>
                <w:b w:val="0"/>
                <w:sz w:val="14"/>
              </w:rPr>
              <w:t>Pending</w:t>
            </w:r>
          </w:p>
        </w:tc>
      </w:tr>
    </w:tbl>
    <w:p/>
    <w:p>
      <w:pPr>
        <w:pStyle w:val="Heading1"/>
      </w:pPr>
      <w:r>
        <w:t>14. Test Metrics and Reporting</w:t>
      </w:r>
    </w:p>
    <w:p>
      <w:pPr>
        <w:pStyle w:val="ListBullet"/>
      </w:pPr>
      <w:r>
        <w:t>Execution rate = executed cases / planned cases × 100%.</w:t>
      </w:r>
    </w:p>
    <w:p>
      <w:pPr>
        <w:pStyle w:val="ListBullet"/>
      </w:pPr>
      <w:r>
        <w:t>Pass rate = passed cases / executed cases × 100%; report blocked cases separately.</w:t>
      </w:r>
    </w:p>
    <w:p>
      <w:pPr>
        <w:pStyle w:val="ListBullet"/>
      </w:pPr>
      <w:r>
        <w:t>Requirement coverage = SRS requirements with linked test evidence / requirements in scope × 100%.</w:t>
      </w:r>
    </w:p>
    <w:p>
      <w:pPr>
        <w:pStyle w:val="ListBullet"/>
      </w:pPr>
      <w:r>
        <w:t>Track defect count by severity, reproducibility, and unresolved safety/capacity issues.</w:t>
      </w:r>
    </w:p>
    <w:p>
      <w:pPr>
        <w:pStyle w:val="Heading1"/>
      </w:pPr>
      <w:r>
        <w:t>15. Approvals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spacing w:after="40"/>
            </w:pPr>
            <w:r>
              <w:rPr>
                <w:color w:val="FFFFFF"/>
              </w:rPr>
            </w:r>
            <w:r>
              <w:rPr>
                <w:rFonts w:ascii="Arial" w:hAnsi="Arial"/>
                <w:b/>
                <w:color w:val="FFFFFF"/>
                <w:sz w:val="16"/>
              </w:rPr>
              <w:t>Role</w:t>
            </w:r>
          </w:p>
        </w:tc>
        <w:tc>
          <w:tcPr>
            <w:tcW w:type="dxa" w:w="3408"/>
            <w:vAlign w:val="center"/>
            <w:shd w:fill="1F4E78"/>
          </w:tcPr>
          <w:p>
            <w:pPr>
              <w:spacing w:after="40"/>
            </w:pPr>
            <w:r>
              <w:rPr>
                <w:color w:val="FFFFFF"/>
              </w:rPr>
            </w:r>
            <w:r>
              <w:rPr>
                <w:rFonts w:ascii="Arial" w:hAnsi="Arial"/>
                <w:b/>
                <w:color w:val="FFFFFF"/>
                <w:sz w:val="16"/>
              </w:rPr>
              <w:t>Name</w:t>
            </w:r>
          </w:p>
        </w:tc>
        <w:tc>
          <w:tcPr>
            <w:tcW w:type="dxa" w:w="3408"/>
            <w:vAlign w:val="center"/>
            <w:shd w:fill="1F4E78"/>
          </w:tcPr>
          <w:p>
            <w:pPr>
              <w:spacing w:after="40"/>
            </w:pPr>
            <w:r>
              <w:rPr>
                <w:color w:val="FFFFFF"/>
              </w:rPr>
            </w:r>
            <w:r>
              <w:rPr>
                <w:rFonts w:ascii="Arial" w:hAnsi="Arial"/>
                <w:b/>
                <w:color w:val="FFFFFF"/>
                <w:sz w:val="16"/>
              </w:rPr>
              <w:t>Signature/date</w:t>
            </w:r>
          </w:p>
        </w:tc>
      </w:tr>
      <w:tr>
        <w:tc>
          <w:tcPr>
            <w:tcW w:type="dxa" w:w="3408"/>
            <w:vAlign w:val="center"/>
          </w:tcPr>
          <w:p>
            <w:pPr>
              <w:spacing w:after="40"/>
            </w:pPr>
            <w:r/>
            <w:r>
              <w:rPr>
                <w:rFonts w:ascii="Arial" w:hAnsi="Arial"/>
                <w:b w:val="0"/>
                <w:sz w:val="16"/>
              </w:rPr>
              <w:t>Prepared by</w:t>
            </w:r>
          </w:p>
        </w:tc>
        <w:tc>
          <w:tcPr>
            <w:tcW w:type="dxa" w:w="3408"/>
            <w:vAlign w:val="center"/>
          </w:tcPr>
          <w:p>
            <w:pPr>
              <w:spacing w:after="40"/>
            </w:pPr>
            <w:r/>
            <w:r>
              <w:rPr>
                <w:rFonts w:ascii="Arial" w:hAnsi="Arial"/>
                <w:b w:val="0"/>
                <w:sz w:val="16"/>
              </w:rPr>
              <w:t>Vainik / project team</w:t>
            </w:r>
          </w:p>
        </w:tc>
        <w:tc>
          <w:tcPr>
            <w:tcW w:type="dxa" w:w="3408"/>
            <w:vAlign w:val="center"/>
          </w:tcPr>
          <w:p>
            <w:pPr>
              <w:spacing w:after="40"/>
            </w:pPr>
            <w:r/>
            <w:r>
              <w:rPr>
                <w:rFonts w:ascii="Arial" w:hAnsi="Arial"/>
                <w:b w:val="0"/>
                <w:sz w:val="16"/>
              </w:rPr>
              <w:t>Pending</w:t>
            </w:r>
          </w:p>
        </w:tc>
      </w:tr>
      <w:tr>
        <w:tc>
          <w:tcPr>
            <w:tcW w:type="dxa" w:w="3408"/>
            <w:vAlign w:val="center"/>
          </w:tcPr>
          <w:p>
            <w:pPr>
              <w:spacing w:after="40"/>
            </w:pPr>
            <w:r/>
            <w:r>
              <w:rPr>
                <w:rFonts w:ascii="Arial" w:hAnsi="Arial"/>
                <w:b w:val="0"/>
                <w:sz w:val="16"/>
              </w:rPr>
              <w:t>Reviewed by</w:t>
            </w:r>
          </w:p>
        </w:tc>
        <w:tc>
          <w:tcPr>
            <w:tcW w:type="dxa" w:w="3408"/>
            <w:vAlign w:val="center"/>
          </w:tcPr>
          <w:p>
            <w:pPr>
              <w:spacing w:after="40"/>
            </w:pPr>
            <w:r/>
            <w:r>
              <w:rPr>
                <w:rFonts w:ascii="Arial" w:hAnsi="Arial"/>
                <w:b w:val="0"/>
                <w:sz w:val="16"/>
              </w:rPr>
              <w:t>Project teammate / integration coordinator</w:t>
            </w:r>
          </w:p>
        </w:tc>
        <w:tc>
          <w:tcPr>
            <w:tcW w:type="dxa" w:w="3408"/>
            <w:vAlign w:val="center"/>
          </w:tcPr>
          <w:p>
            <w:pPr>
              <w:spacing w:after="40"/>
            </w:pPr>
            <w:r/>
            <w:r>
              <w:rPr>
                <w:rFonts w:ascii="Arial" w:hAnsi="Arial"/>
                <w:b w:val="0"/>
                <w:sz w:val="16"/>
              </w:rPr>
              <w:t>Pending</w:t>
            </w:r>
          </w:p>
        </w:tc>
      </w:tr>
      <w:tr>
        <w:tc>
          <w:tcPr>
            <w:tcW w:type="dxa" w:w="3408"/>
            <w:vAlign w:val="center"/>
          </w:tcPr>
          <w:p>
            <w:pPr>
              <w:spacing w:after="40"/>
            </w:pPr>
            <w:r/>
            <w:r>
              <w:rPr>
                <w:rFonts w:ascii="Arial" w:hAnsi="Arial"/>
                <w:b w:val="0"/>
                <w:sz w:val="16"/>
              </w:rPr>
              <w:t>Approved by</w:t>
            </w:r>
          </w:p>
        </w:tc>
        <w:tc>
          <w:tcPr>
            <w:tcW w:type="dxa" w:w="3408"/>
            <w:vAlign w:val="center"/>
          </w:tcPr>
          <w:p>
            <w:pPr>
              <w:spacing w:after="40"/>
            </w:pPr>
            <w:r/>
            <w:r>
              <w:rPr>
                <w:rFonts w:ascii="Arial" w:hAnsi="Arial"/>
                <w:b w:val="0"/>
                <w:sz w:val="16"/>
              </w:rPr>
              <w:t>Course instructor/evaluator</w:t>
            </w:r>
          </w:p>
        </w:tc>
        <w:tc>
          <w:tcPr>
            <w:tcW w:type="dxa" w:w="3408"/>
            <w:vAlign w:val="center"/>
          </w:tcPr>
          <w:p>
            <w:pPr>
              <w:spacing w:after="40"/>
            </w:pPr>
            <w:r/>
            <w:r>
              <w:rPr>
                <w:rFonts w:ascii="Arial" w:hAnsi="Arial"/>
                <w:b w:val="0"/>
                <w:sz w:val="16"/>
              </w:rPr>
              <w:t>Pending</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