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Security Architecture Contract</w:t>
      </w:r>
    </w:p>
    <w:p>
      <w:pPr>
        <w:pBdr>
          <w:bottom w:val="single" w:color="CCCCCC" w:sz="6"/>
        </w:pBdr>
        <w:spacing w:before="200" w:after="200"/>
      </w:pPr>
    </w:p>
    <w:p>
      <w:pPr>
        <w:pBdr>
          <w:left w:val="single" w:color="00A3E0" w:sz="24"/>
        </w:pBdr>
        <w:shd w:fill="F5F5F5" w:val="clear"/>
        <w:spacing w:before="120" w:after="120"/>
        <w:ind w:left="720"/>
      </w:pPr>
      <w:r>
        <w:rPr>
          <w:i/>
          <w:iCs/>
          <w:color w:val="666666"/>
        </w:rPr>
        <w:t xml:space="preserve">**Use Case Context:** This artifact supports **UC03: Evaluate a Vendor Solution**</w:t>
      </w:r>
    </w:p>
    <w:p>
      <w:pPr>
        <w:pBdr>
          <w:bottom w:val="single" w:color="CCCCCC" w:sz="6"/>
        </w:pBdr>
        <w:spacing w:before="200" w:after="200"/>
      </w:pPr>
    </w:p>
    <w:p>
      <w:pPr>
        <w:spacing w:after="120"/>
      </w:pPr>
      <w:r>
        <w:t xml:space="preserve">[</w:t>
      </w:r>
      <w:r>
        <w:t xml:space="preserve">G-CAF-070]</w:t>
      </w:r>
    </w:p>
    <w:p>
      <w:pPr>
        <w:spacing w:after="120"/>
      </w:pPr>
      <w:r>
        <w:rPr>
          <w:b/>
          <w:bCs/>
        </w:rPr>
        <w:t xml:space="preserve">Change Driver:</w:t>
      </w:r>
      <w:r>
        <w:t xml:space="preserve"> Security standards, threat landscape, or compliance requirements</w:t>
      </w:r>
    </w:p>
    <w:p>
      <w:pPr>
        <w:spacing w:after="120"/>
      </w:pPr>
      <w:r>
        <w:rPr>
          <w:b/>
          <w:bCs/>
        </w:rPr>
        <w:t xml:space="preserve">Type:</w:t>
      </w:r>
      <w:r>
        <w:t xml:space="preserve"> Specific</w:t>
      </w:r>
    </w:p>
    <w:p>
      <w:pPr>
        <w:spacing w:after="120"/>
      </w:pPr>
      <w:r>
        <w:rPr>
          <w:b/>
          <w:bCs/>
        </w:rPr>
        <w:t xml:space="preserve">Last Updated:</w:t>
      </w:r>
      <w:r>
        <w:t xml:space="preserve"> December 2025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Overview</w:t>
      </w:r>
    </w:p>
    <w:p>
      <w:pPr>
        <w:spacing w:after="120"/>
      </w:pPr>
      <w:r>
        <w:t xml:space="preserve">Security standard contracts apply to all PBCs. PBCs must declare which contract version they comply with.</w:t>
      </w:r>
    </w:p>
    <w:p>
      <w:pPr>
        <w:spacing w:after="120"/>
      </w:pPr>
      <w:r>
        <w:rPr>
          <w:b/>
          <w:bCs/>
        </w:rPr>
        <w:t xml:space="preserve">Current Version:</w:t>
      </w:r>
      <w:r>
        <w:t xml:space="preserve"> See </w:t>
      </w:r>
      <w:r>
        <w:rPr>
          <w:rFonts w:ascii="Consolas" w:cs="Consolas" w:eastAsia="Consolas" w:hAnsi="Consolas"/>
          <w:shd w:fill="F0F0F0"/>
        </w:rPr>
        <w:t xml:space="preserve">_version-registry.md</w:t>
      </w:r>
    </w:p>
    <w:p>
      <w:pPr>
        <w:pBdr>
          <w:left w:val="single" w:color="00A3E0" w:sz="24"/>
        </w:pBdr>
        <w:shd w:fill="F5F5F5" w:val="clear"/>
        <w:spacing w:before="120" w:after="120"/>
        <w:ind w:left="720"/>
      </w:pPr>
      <w:r>
        <w:rPr>
          <w:i/>
          <w:iCs/>
          <w:color w:val="666666"/>
        </w:rPr>
        <w:t xml:space="preserve">**Full Specification:** See companion document *G-CAF Security Architecture Contract*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Security Principles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Zero Trust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Verify explicitly; least privilege access; assume breach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Defense in Depth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Multiple layers of security controls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Secure by Default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Default PBC configurations must be secure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Fail Secure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PBC failures must not compromise security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Zero Trust Zones by Operational Model</w:t>
      </w:r>
    </w:p>
    <w:p>
      <w:pPr>
        <w:spacing w:after="120"/>
      </w:pPr>
      <w:r>
        <w:t xml:space="preserve">Zero Trust segmentation must be applied consistently but appropriately to each Operational Model. Trust zone boundaries define authentication, authorization, and network segmentation requirements.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Trust Boundary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Inter-PBC AuthN/AuthZ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Network Segmentation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Centralized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GovDigital perimeter; single trust 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Service mesh mTLS; centralized IAM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Shared VPC; micro-segmentation by SAL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Federated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Entity boundary within GovDigital guardrails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GovDX gateway enforcement; entity IAM federated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Entity VPC peered to GovDigital; egress controlled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Distributed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Entity perimeter; zero implicit trust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gateway mutual auth; no shared 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Isolated VPC; GovDX via private link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Hybrid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Per-PBC based on classification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Mixed; governed by PBC Criticality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Mixed; Critical PBCs in centralized zone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Trust Zone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GovDX Traversal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cross-model PBC communication MUST traverse GovDX (no direct calls)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ACL for Distributed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Distributed model PBCs MUST implement Anti-Corruption Layer for GovDX integration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Critical PBC Placement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Critical PBCs MUST reside in Centralized trust zone regardless of entity Operational Model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Documentation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Trust zone boundaries MUST be documented in PBC Catalog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Security Assurance Levels (SAL)</w:t>
      </w:r>
    </w:p>
    <w:p>
      <w:pPr>
        <w:spacing w:after="120"/>
      </w:pPr>
      <w:r>
        <w:t xml:space="preserve">PBCs are assigned a Security Assurance Level based on data classification: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Classification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SAL-1 (Basic)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Standard controls; annual assessment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Public information PBCs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SAL-2 (Standard)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Enhanced controls; bi-annual assessment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Internal workflow PBCs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SAL-3 (Enhanced)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Confidential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Strong controls; quarterly assessment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Citizen PII handling PBCs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SAL-4 (Critical)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Secret/Restricted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Maximum controls; continuous assessment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National security PBCs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Security Requirements by SAL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SAL-1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SAL-2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SAL-3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SAL-4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Authentication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MFA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MFA + context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MFA + hardware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Encryption at rest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Optional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Required + key mgmt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Encryption in transit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TLS 1.2+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TLS 1.2+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TLS 1.3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TLS 1.3 + mTLS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Logging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Enhanced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Comprehensive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Comprehensive + SIEM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Penetration testing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Annual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Bi-annual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Quarterly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Continuous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Version Compliance</w:t>
      </w:r>
    </w:p>
    <w:p>
      <w:pPr>
        <w:pStyle w:val="ListParagraph"/>
        <w:numPr>
          <w:ilvl w:val="0"/>
          <w:numId w:val="2"/>
        </w:numPr>
      </w:pPr>
      <w:r>
        <w:t xml:space="preserve">PBCs must declare the Security Contract version they comply with</w:t>
      </w:r>
    </w:p>
    <w:p>
      <w:pPr>
        <w:pStyle w:val="ListParagraph"/>
        <w:numPr>
          <w:ilvl w:val="0"/>
          <w:numId w:val="2"/>
        </w:numPr>
      </w:pPr>
      <w:r>
        <w:t xml:space="preserve">Migration to new versions must occur within 12 months of release</w:t>
      </w:r>
    </w:p>
    <w:p>
      <w:pPr>
        <w:pStyle w:val="ListParagraph"/>
        <w:numPr>
          <w:ilvl w:val="0"/>
          <w:numId w:val="2"/>
        </w:numPr>
      </w:pPr>
      <w:r>
        <w:t xml:space="preserve">ARB may grant extensions for complex migrations</w:t>
      </w:r>
    </w:p>
    <w:p>
      <w:pPr>
        <w:pStyle w:val="ListParagraph"/>
        <w:numPr>
          <w:ilvl w:val="0"/>
          <w:numId w:val="2"/>
        </w:numPr>
      </w:pPr>
      <w:r>
        <w:t xml:space="preserve">After sunset date, PBCs on old versions may not pass Go-Live Gateway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Gateway Security Checks</w:t>
      </w:r>
    </w:p>
    <w:p>
      <w:pPr>
        <w:pStyle w:val="Heading3"/>
      </w:pPr>
      <w:r>
        <w:t xml:space="preserve">Initiation Gateway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SAL level determined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Security Contract version declared</w:t>
      </w:r>
    </w:p>
    <w:p>
      <w:pPr>
        <w:pStyle w:val="Heading3"/>
      </w:pPr>
      <w:r>
        <w:t xml:space="preserve">Design Gateway</w:t>
      </w:r>
    </w:p>
    <w:p>
      <w:pPr>
        <w:pStyle w:val="ListParagraph"/>
        <w:numPr>
          <w:ilvl w:val="0"/>
          <w:numId w:val="4"/>
        </w:numPr>
      </w:pPr>
      <w:r>
        <w:t xml:space="preserve">[</w:t>
      </w:r>
      <w:r>
        <w:t xml:space="preserve"> ] Security architecture documented</w:t>
      </w:r>
    </w:p>
    <w:p>
      <w:pPr>
        <w:pStyle w:val="ListParagraph"/>
        <w:numPr>
          <w:ilvl w:val="0"/>
          <w:numId w:val="4"/>
        </w:numPr>
      </w:pPr>
      <w:r>
        <w:t xml:space="preserve">[</w:t>
      </w:r>
      <w:r>
        <w:t xml:space="preserve"> ] Threat model completed</w:t>
      </w:r>
    </w:p>
    <w:p>
      <w:pPr>
        <w:pStyle w:val="ListParagraph"/>
        <w:numPr>
          <w:ilvl w:val="0"/>
          <w:numId w:val="4"/>
        </w:numPr>
      </w:pPr>
      <w:r>
        <w:t xml:space="preserve">[</w:t>
      </w:r>
      <w:r>
        <w:t xml:space="preserve"> ] Controls mapped to SAL requirements</w:t>
      </w:r>
    </w:p>
    <w:p>
      <w:pPr>
        <w:pStyle w:val="Heading3"/>
      </w:pPr>
      <w:r>
        <w:t xml:space="preserve">Go-Live Gateway</w:t>
      </w:r>
    </w:p>
    <w:p>
      <w:pPr>
        <w:pStyle w:val="ListParagraph"/>
        <w:numPr>
          <w:ilvl w:val="0"/>
          <w:numId w:val="5"/>
        </w:numPr>
      </w:pPr>
      <w:r>
        <w:t xml:space="preserve">[</w:t>
      </w:r>
      <w:r>
        <w:t xml:space="preserve"> ] Penetration test completed</w:t>
      </w:r>
    </w:p>
    <w:p>
      <w:pPr>
        <w:pStyle w:val="ListParagraph"/>
        <w:numPr>
          <w:ilvl w:val="0"/>
          <w:numId w:val="5"/>
        </w:numPr>
      </w:pPr>
      <w:r>
        <w:t xml:space="preserve">[</w:t>
      </w:r>
      <w:r>
        <w:t xml:space="preserve"> ] Vulnerability assessment passed</w:t>
      </w:r>
    </w:p>
    <w:p>
      <w:pPr>
        <w:pStyle w:val="ListParagraph"/>
        <w:numPr>
          <w:ilvl w:val="0"/>
          <w:numId w:val="5"/>
        </w:numPr>
      </w:pPr>
      <w:r>
        <w:t xml:space="preserve">[</w:t>
      </w:r>
      <w:r>
        <w:t xml:space="preserve"> ] Security controls validated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Related Modules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G-CAF-040 (arb.md)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 approves contract versions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G-CAF-090-092 (gateways)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Security validation at each gateway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G-CAF-COMPANION-024h (agent-contract-security.md)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Agent-specific security extensions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_version-registry.md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Contract version tracked centrally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Department of Government Enablement (DGE)</w:t>
    </w:r>
    <w:r>
      <w:rPr>
        <w:color w:val="999999"/>
        <w:sz w:val="18"/>
        <w:szCs w:val="18"/>
      </w:rPr>
      <w:t xml:space="preserve">  •  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1B365D"/>
        <w:sz w:val="18"/>
        <w:szCs w:val="18"/>
      </w:rPr>
      <w:t xml:space="preserve">G-CAF v1.12</w:t>
    </w:r>
    <w:r>
      <w:rPr>
        <w:color w:val="CCCCCC"/>
        <w:sz w:val="18"/>
        <w:szCs w:val="18"/>
      </w:rPr>
      <w:t xml:space="preserve">  |  </w:t>
    </w:r>
    <w:r>
      <w:rPr>
        <w:color w:val="666666"/>
        <w:sz w:val="18"/>
        <w:szCs w:val="18"/>
      </w:rPr>
      <w:t xml:space="preserve">UC03: Evaluate a Vendor Solution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left"/>
    </w:pPr>
    <w:rPr>
      <w:rFonts w:ascii="Arial" w:cs="Arial" w:eastAsia="Arial" w:hAnsi="Arial"/>
      <w:b/>
      <w:bCs/>
      <w:color w:val="1B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B365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D3F5F9A4E85140AAD48F7B0D3638C9" ma:contentTypeVersion="15" ma:contentTypeDescription="Create a new document." ma:contentTypeScope="" ma:versionID="33a62206085c2ebc30f133430c1699be">
  <xsd:schema xmlns:xsd="http://www.w3.org/2001/XMLSchema" xmlns:xs="http://www.w3.org/2001/XMLSchema" xmlns:p="http://schemas.microsoft.com/office/2006/metadata/properties" xmlns:ns2="3983a1f9-5c93-42c6-9c54-ec4d7c847ee0" xmlns:ns3="e7db6876-687c-44bf-b8fd-f1c6e1a99ef6" targetNamespace="http://schemas.microsoft.com/office/2006/metadata/properties" ma:root="true" ma:fieldsID="312fc6c76be1c24825ac97b23720a1ce" ns2:_="" ns3:_="">
    <xsd:import namespace="3983a1f9-5c93-42c6-9c54-ec4d7c847ee0"/>
    <xsd:import namespace="e7db6876-687c-44bf-b8fd-f1c6e1a99e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3a1f9-5c93-42c6-9c54-ec4d7c847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62c07e-e135-406e-ae8a-789cb23ff1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b6876-687c-44bf-b8fd-f1c6e1a99e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04b4cb-77d7-4007-9a8e-1c21999d4ba2}" ma:internalName="TaxCatchAll" ma:showField="CatchAllData" ma:web="e7db6876-687c-44bf-b8fd-f1c6e1a99e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83a1f9-5c93-42c6-9c54-ec4d7c847ee0">
      <Terms xmlns="http://schemas.microsoft.com/office/infopath/2007/PartnerControls"/>
    </lcf76f155ced4ddcb4097134ff3c332f>
    <TaxCatchAll xmlns="e7db6876-687c-44bf-b8fd-f1c6e1a99ef6" xsi:nil="true"/>
  </documentManagement>
</p:properties>
</file>

<file path=customXml/itemProps1.xml><?xml version="1.0" encoding="utf-8"?>
<ds:datastoreItem xmlns:ds="http://schemas.openxmlformats.org/officeDocument/2006/customXml" ds:itemID="{ACA9CC28-1EC8-4303-A2C9-44A0C7DBE9E1}"/>
</file>

<file path=customXml/itemProps2.xml><?xml version="1.0" encoding="utf-8"?>
<ds:datastoreItem xmlns:ds="http://schemas.openxmlformats.org/officeDocument/2006/customXml" ds:itemID="{962CC1E2-9C91-4152-B06D-F1C3BF3589CC}"/>
</file>

<file path=customXml/itemProps3.xml><?xml version="1.0" encoding="utf-8"?>
<ds:datastoreItem xmlns:ds="http://schemas.openxmlformats.org/officeDocument/2006/customXml" ds:itemID="{3517FB01-ED3D-4CC7-AD8E-394802CEBC62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2025-12-09T05:10:37Z</dcterms:created>
  <dcterms:modified xsi:type="dcterms:W3CDTF">2025-12-09T05:10:37Z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Text">
    <vt:lpwstr>CONFIDENTIAL |   خصوصيّ</vt:lpwstr>
  </property>
  <property fmtid="{D5CDD505-2E9C-101B-9397-08002B2CF9AE}" pid="3" name="MSIP_Label_44b50724-87c1-4b02-94c8-e7d88c4f4b62_Name">
    <vt:lpwstr>Confidential</vt:lpwstr>
  </property>
  <property fmtid="{D5CDD505-2E9C-101B-9397-08002B2CF9AE}" pid="4" name="MediaServiceImageTags">
    <vt:lpwstr/>
  </property>
  <property fmtid="{D5CDD505-2E9C-101B-9397-08002B2CF9AE}" pid="5" name="ContentTypeId">
    <vt:lpwstr>0x010100DCD3F5F9A4E85140AAD48F7B0D3638C9</vt:lpwstr>
  </property>
  <property fmtid="{D5CDD505-2E9C-101B-9397-08002B2CF9AE}" pid="6" name="MSIP_Label_44b50724-87c1-4b02-94c8-e7d88c4f4b62_Enabled">
    <vt:lpwstr>true</vt:lpwstr>
  </property>
  <property fmtid="{D5CDD505-2E9C-101B-9397-08002B2CF9AE}" pid="7" name="MSIP_Label_44b50724-87c1-4b02-94c8-e7d88c4f4b62_Tag">
    <vt:lpwstr>10, 3, 0, 2</vt:lpwstr>
  </property>
  <property fmtid="{D5CDD505-2E9C-101B-9397-08002B2CF9AE}" pid="8" name="MSIP_Label_44b50724-87c1-4b02-94c8-e7d88c4f4b62_SiteId">
    <vt:lpwstr>0cefd05a-5b38-4ce7-96bb-c31e6e251d18</vt:lpwstr>
  </property>
  <property fmtid="{D5CDD505-2E9C-101B-9397-08002B2CF9AE}" pid="9" name="MSIP_Label_44b50724-87c1-4b02-94c8-e7d88c4f4b62_Method">
    <vt:lpwstr>Standard</vt:lpwstr>
  </property>
  <property fmtid="{D5CDD505-2E9C-101B-9397-08002B2CF9AE}" pid="10" name="MSIP_Label_44b50724-87c1-4b02-94c8-e7d88c4f4b62_SetDate">
    <vt:lpwstr>2025-12-16T10:59:07Z</vt:lpwstr>
  </property>
  <property fmtid="{D5CDD505-2E9C-101B-9397-08002B2CF9AE}" pid="11" name="MSIP_Label_44b50724-87c1-4b02-94c8-e7d88c4f4b62_ActionId">
    <vt:lpwstr>47462e86-4b73-4ed0-acf5-84ebe4bd9b1e</vt:lpwstr>
  </property>
  <property fmtid="{D5CDD505-2E9C-101B-9397-08002B2CF9AE}" pid="12" name="MSIP_Label_44b50724-87c1-4b02-94c8-e7d88c4f4b62_ContentBits">
    <vt:lpwstr>2</vt:lpwstr>
  </property>
  <property fmtid="{D5CDD505-2E9C-101B-9397-08002B2CF9AE}" pid="13" name="docLang">
    <vt:lpwstr>en</vt:lpwstr>
  </property>
  <property fmtid="{D5CDD505-2E9C-101B-9397-08002B2CF9AE}" pid="14" name="ClassificationContentMarkingFooterShapeIds">
    <vt:lpwstr>7e2fe396,32543fc8,2e87e783</vt:lpwstr>
  </property>
  <property fmtid="{D5CDD505-2E9C-101B-9397-08002B2CF9AE}" pid="15" name="ClassificationContentMarkingFooterFontProps">
    <vt:lpwstr>#0071bd,10,Calibri</vt:lpwstr>
  </property>
</Properties>
</file>