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Architecture Contract</w:t>
      </w:r>
    </w:p>
    <w:p>
      <w:pPr>
        <w:pBdr>
          <w:bottom w:val="single" w:color="CCCCCC" w:sz="6"/>
        </w:pBdr>
        <w:spacing w:before="200" w:after="200"/>
      </w:pPr>
    </w:p>
    <w:p>
      <w:pPr>
        <w:pBdr>
          <w:left w:val="single" w:color="00A3E0" w:sz="24"/>
        </w:pBdr>
        <w:shd w:fill="F5F5F5" w:val="clear"/>
        <w:spacing w:before="120" w:after="120"/>
        <w:ind w:left="720"/>
      </w:pPr>
      <w:r>
        <w:rPr>
          <w:i/>
          <w:iCs/>
          <w:color w:val="666666"/>
        </w:rPr>
        <w:t xml:space="preserve">**Use Case Context:** This artifact supports **UC04: Design a PBC Architecture**</w:t>
      </w:r>
    </w:p>
    <w:p>
      <w:pPr>
        <w:pBdr>
          <w:bottom w:val="single" w:color="CCCCCC" w:sz="6"/>
        </w:pBdr>
        <w:spacing w:before="200" w:after="200"/>
      </w:pPr>
    </w:p>
    <w:p>
      <w:pPr>
        <w:spacing w:after="120"/>
      </w:pPr>
      <w:r>
        <w:t xml:space="preserve">[</w:t>
      </w:r>
      <w:r>
        <w:t xml:space="preserve">G-CAF-071]</w:t>
      </w:r>
    </w:p>
    <w:p>
      <w:pPr>
        <w:spacing w:after="120"/>
      </w:pPr>
      <w:r>
        <w:rPr>
          <w:b/>
          <w:bCs/>
        </w:rPr>
        <w:t xml:space="preserve">Change Driver:</w:t>
      </w:r>
      <w:r>
        <w:t xml:space="preserve"> Data standards, privacy regulations, or data sovereignty rules</w:t>
      </w:r>
    </w:p>
    <w:p>
      <w:pPr>
        <w:spacing w:after="120"/>
      </w:pPr>
      <w:r>
        <w:rPr>
          <w:b/>
          <w:bCs/>
        </w:rPr>
        <w:t xml:space="preserve">Type:</w:t>
      </w:r>
      <w:r>
        <w:t xml:space="preserve"> Specific</w:t>
      </w:r>
    </w:p>
    <w:p>
      <w:pPr>
        <w:spacing w:after="120"/>
      </w:pPr>
      <w:r>
        <w:rPr>
          <w:b/>
          <w:bCs/>
        </w:rPr>
        <w:t xml:space="preserve">Last Updated:</w:t>
      </w:r>
      <w:r>
        <w:t xml:space="preserve"> December 2025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Overview</w:t>
      </w:r>
    </w:p>
    <w:p>
      <w:pPr>
        <w:spacing w:after="120"/>
      </w:pPr>
      <w:r>
        <w:t xml:space="preserve">Data standard contracts apply to all PBCs handling government data. PBCs must declare which contract version they comply with.</w:t>
      </w:r>
    </w:p>
    <w:p>
      <w:pPr>
        <w:spacing w:after="120"/>
      </w:pPr>
      <w:r>
        <w:rPr>
          <w:b/>
          <w:bCs/>
        </w:rPr>
        <w:t xml:space="preserve">Current Version:</w:t>
      </w:r>
      <w:r>
        <w:t xml:space="preserve"> See </w:t>
      </w:r>
      <w:r>
        <w:rPr>
          <w:rFonts w:ascii="Consolas" w:cs="Consolas" w:eastAsia="Consolas" w:hAnsi="Consolas"/>
          <w:shd w:fill="F0F0F0"/>
        </w:rPr>
        <w:t xml:space="preserve">_version-registry.md</w:t>
      </w:r>
    </w:p>
    <w:p>
      <w:pPr>
        <w:pBdr>
          <w:left w:val="single" w:color="00A3E0" w:sz="24"/>
        </w:pBdr>
        <w:shd w:fill="F5F5F5" w:val="clear"/>
        <w:spacing w:before="120" w:after="120"/>
        <w:ind w:left="720"/>
      </w:pPr>
      <w:r>
        <w:rPr>
          <w:i/>
          <w:iCs/>
          <w:color w:val="666666"/>
        </w:rPr>
        <w:t xml:space="preserve">**Full Specification:** See companion document *G-CAF Data Architecture Contract*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Data Classification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PBC Handling Requirements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Public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Approved for public release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restrictions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Internal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 government use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Access controls required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Confidential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Sensitive; limited distribution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Encryption; audit logging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Highly sensitive; strict controls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Maximum protection; need-to-know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Restricted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Regulatory/legal restrictions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Specific handling per regulation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Data Residency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Residency Requirement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Citizen PII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In-country only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Government classified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Government cloud only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restriction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Regulatory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 regulation requirements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Data Ownership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Single Source of Truth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Each data entity has one owning PBC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Application PBC Ownership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Application PBCs own their entities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 Duplication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is referenced, not copied (except Data Fabric)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Clear Lineage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origin and transformations are tracked</w:t>
            </w:r>
          </w:p>
        </w:tc>
      </w:tr>
    </w:tbl>
    <w:p>
      <w:pPr>
        <w:spacing w:after="120"/>
      </w:pPr>
    </w:p>
    <w:p>
      <w:pPr>
        <w:pBdr>
          <w:left w:val="single" w:color="00A3E0" w:sz="24"/>
        </w:pBdr>
        <w:shd w:fill="F5F5F5" w:val="clear"/>
        <w:spacing w:before="120" w:after="120"/>
        <w:ind w:left="720"/>
      </w:pPr>
      <w:r>
        <w:rPr>
          <w:i/>
          <w:iCs/>
          <w:color w:val="666666"/>
        </w:rPr>
        <w:t xml:space="preserve">**Cross-Entity Governance:** See `data-ownership-governance.md` for Data Ownership Matrix, sharing zones, and dispute resolution.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Data Sharing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Sharing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API (GovDX)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Consumer registered; consent verified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change notification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Schema registered; tolerant reader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 Fabric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Analytics/reference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contract; access controls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Bulk Extract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Batch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DDA approval; encryption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Data Quality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reflects reality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Completeness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Required fields populated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Timeliness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current within SLA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Consistency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matches across systems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Validity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conforms to rules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Gateway Data Checks</w:t>
      </w:r>
    </w:p>
    <w:p>
      <w:pPr>
        <w:pStyle w:val="Heading3"/>
      </w:pPr>
      <w:r>
        <w:t xml:space="preserve">Initiation Gateway</w:t>
      </w:r>
    </w:p>
    <w:p>
      <w:pPr>
        <w:pStyle w:val="ListParagraph"/>
        <w:numPr>
          <w:ilvl w:val="0"/>
          <w:numId w:val="2"/>
        </w:numPr>
      </w:pPr>
      <w:r>
        <w:t xml:space="preserve">[</w:t>
      </w:r>
      <w:r>
        <w:t xml:space="preserve"> ] Data classification determined</w:t>
      </w:r>
    </w:p>
    <w:p>
      <w:pPr>
        <w:pStyle w:val="ListParagraph"/>
        <w:numPr>
          <w:ilvl w:val="0"/>
          <w:numId w:val="2"/>
        </w:numPr>
      </w:pPr>
      <w:r>
        <w:t xml:space="preserve">[</w:t>
      </w:r>
      <w:r>
        <w:t xml:space="preserve"> ] Data ownership clarified</w:t>
      </w:r>
    </w:p>
    <w:p>
      <w:pPr>
        <w:pStyle w:val="ListParagraph"/>
        <w:numPr>
          <w:ilvl w:val="0"/>
          <w:numId w:val="2"/>
        </w:numPr>
      </w:pPr>
      <w:r>
        <w:t xml:space="preserve">[</w:t>
      </w:r>
      <w:r>
        <w:t xml:space="preserve"> ] Data Contract version declared</w:t>
      </w:r>
    </w:p>
    <w:p>
      <w:pPr>
        <w:pStyle w:val="Heading3"/>
      </w:pPr>
      <w:r>
        <w:t xml:space="preserve">Design Gateway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Data model documented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Residency requirements met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Sharing approach defined</w:t>
      </w:r>
    </w:p>
    <w:p>
      <w:pPr>
        <w:pStyle w:val="Heading3"/>
      </w:pPr>
      <w:r>
        <w:t xml:space="preserve">Go-Live Gateway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Data quality validated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Access controls implemented</w:t>
      </w:r>
    </w:p>
    <w:p>
      <w:pPr>
        <w:pStyle w:val="ListParagraph"/>
        <w:numPr>
          <w:ilvl w:val="0"/>
          <w:numId w:val="4"/>
        </w:numPr>
      </w:pPr>
      <w:r>
        <w:t xml:space="preserve">[</w:t>
      </w:r>
      <w:r>
        <w:t xml:space="preserve"> ] Lineage tracking operational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Related Modules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G-CAF-040 (arb.md)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 approves contract versions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G-CAF-044 (Data Asset Catalog)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entities governed here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G-CAF-071b (data-ownership-governance.md)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Ownership dispute resolution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G-CAF-106 (layer4-data-fabric.md)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Fabric integration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G-CAF-090-092 (gateways)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validation at each gateway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_version-registry.md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Contract version tracked centrally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Department of Government Enablement (DGE)</w:t>
    </w:r>
    <w:r>
      <w:rPr>
        <w:color w:val="999999"/>
        <w:sz w:val="18"/>
        <w:szCs w:val="18"/>
      </w:rPr>
      <w:t xml:space="preserve">  •  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1B365D"/>
        <w:sz w:val="18"/>
        <w:szCs w:val="18"/>
      </w:rPr>
      <w:t xml:space="preserve"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 xml:space="preserve">UC04: Design a PBC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Arial" w:cs="Arial" w:eastAsia="Arial" w:hAnsi="Arial"/>
      <w:b/>
      <w:bCs/>
      <w:color w:val="1B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365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380550B1-5393-459B-8201-8CB2BF36327F}"/>
</file>

<file path=customXml/itemProps2.xml><?xml version="1.0" encoding="utf-8"?>
<ds:datastoreItem xmlns:ds="http://schemas.openxmlformats.org/officeDocument/2006/customXml" ds:itemID="{9926FCDA-86A0-4DFA-96CB-CF2695FC7B39}"/>
</file>

<file path=customXml/itemProps3.xml><?xml version="1.0" encoding="utf-8"?>
<ds:datastoreItem xmlns:ds="http://schemas.openxmlformats.org/officeDocument/2006/customXml" ds:itemID="{0C44BC09-4A2A-49B1-BDC5-E3ED833089A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2025-12-09T05:10:38Z</dcterms:created>
  <dcterms:modified xsi:type="dcterms:W3CDTF">2025-12-09T05:10:38Z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2025-12-11T10:27:16Z</vt:lpwstr>
  </property>
  <property fmtid="{D5CDD505-2E9C-101B-9397-08002B2CF9AE}" pid="11" name="MSIP_Label_44b50724-87c1-4b02-94c8-e7d88c4f4b62_ActionId">
    <vt:lpwstr>cf3115f3-10ce-4ee0-a262-d7b10bf20080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3fdac8d2,578973d5,f2df599</vt:lpwstr>
  </property>
  <property fmtid="{D5CDD505-2E9C-101B-9397-08002B2CF9AE}" pid="15" name="ClassificationContentMarkingFooterFontProps">
    <vt:lpwstr>#0071bd,10,Calibri</vt:lpwstr>
  </property>
</Properties>
</file>