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Gateway 2: Design Gateway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**UC11: Conduct Architecture Review**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G-CAF-091]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Design review process, architecture criteria, or required artifacts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Trigger</w:t>
      </w:r>
    </w:p>
    <w:p>
      <w:pPr>
        <w:spacing w:after="120"/>
      </w:pPr>
      <w:r>
        <w:t xml:space="preserve">PBC passed Initiation Gateway; ready for detailed design (or procurement complete for Buy)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Validate architecture compliance with G-CAF principles</w:t>
      </w:r>
    </w:p>
    <w:p>
      <w:pPr>
        <w:pStyle w:val="ListParagraph"/>
        <w:numPr>
          <w:ilvl w:val="0"/>
          <w:numId w:val="2"/>
        </w:numPr>
      </w:pPr>
      <w:r>
        <w:t xml:space="preserve">Review Interface Contract completeness</w:t>
      </w:r>
    </w:p>
    <w:p>
      <w:pPr>
        <w:pStyle w:val="ListParagraph"/>
        <w:numPr>
          <w:ilvl w:val="0"/>
          <w:numId w:val="2"/>
        </w:numPr>
      </w:pPr>
      <w:r>
        <w:t xml:space="preserve">Confirm standard contract compliance</w:t>
      </w:r>
    </w:p>
    <w:p>
      <w:pPr>
        <w:pStyle w:val="ListParagraph"/>
        <w:numPr>
          <w:ilvl w:val="0"/>
          <w:numId w:val="2"/>
        </w:numPr>
      </w:pPr>
      <w:r>
        <w:t xml:space="preserve">Validate GovDX integration approach</w:t>
      </w:r>
    </w:p>
    <w:p>
      <w:pPr>
        <w:pStyle w:val="ListParagraph"/>
        <w:numPr>
          <w:ilvl w:val="0"/>
          <w:numId w:val="2"/>
        </w:numPr>
      </w:pPr>
      <w:r>
        <w:t xml:space="preserve">Assess security architecture</w:t>
      </w:r>
    </w:p>
    <w:p>
      <w:pPr>
        <w:pStyle w:val="ListParagraph"/>
        <w:numPr>
          <w:ilvl w:val="0"/>
          <w:numId w:val="2"/>
        </w:numPr>
      </w:pPr>
      <w:r>
        <w:t xml:space="preserve">Review data architecture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complete technology specifications</w:t>
      </w:r>
      <w:r>
        <w:t xml:space="preserve"> (NEW v1.5)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Obtain approvals for non-Strategic technologies</w:t>
      </w:r>
      <w:r>
        <w:t xml:space="preserve"> (NEW v1.5)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DDA Reviews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Architecture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 follows G-CAF principles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architecture-principles.md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Interface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APIs, events, schemas documented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interface-framework.md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requirements met per 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security-contract.md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requirements met; ownership clear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data-contract.md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Integration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integration compliant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integration-contract.md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NFR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NFR targets defined per Criticality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nfr-contract.md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Anti-Pattern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design-phase anti-patterns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pbc-anti-patterns.md</w:t>
            </w:r>
            <w:r>
              <w:t xml:space="preserve"> </w:t>
            </w:r>
            <w:r>
              <w:t xml:space="preserve">[</w:t>
            </w:r>
            <w:r>
              <w:t xml:space="preserve">G-CAF-054]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Vendor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ACL designed if required (Buy/Outsource)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vendor-evaluation.md</w:t>
            </w:r>
            <w:r>
              <w:t xml:space="preserve"> </w:t>
            </w:r>
            <w:r>
              <w:t xml:space="preserve">[</w:t>
            </w:r>
            <w:r>
              <w:t xml:space="preserve">G-CAF-056]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technology stack documented and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technology-standards-catalog.md</w:t>
            </w:r>
            <w:r>
              <w:t xml:space="preserve"> </w:t>
            </w:r>
            <w:r>
              <w:t xml:space="preserve">[</w:t>
            </w:r>
            <w:r>
              <w:t xml:space="preserve">G-CAF-043]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Required Artifacts</w:t>
      </w:r>
    </w:p>
    <w:p>
      <w:pPr>
        <w:pStyle w:val="Heading3"/>
      </w:pPr>
      <w:r>
        <w:t xml:space="preserve">All PBCs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Architecture diagrams (C4: Context, Container, Component)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Interface Contract (OpenAPI 3.0+ specification)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Event schemas (CloudEvents format, if applicable)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Data model and ownership confirmation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Security architecture (per SAL requirements)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NFR targets (availability, performance, scalability)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GovDX integration design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Technology Specifications (PBC Template Section 18)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Technology compliance confirmation (Strategic or Tactical approved)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DDA approval for Tactical technologies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ARB approval for exceptions (if any)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Heading3"/>
      </w:pPr>
      <w:r>
        <w:t xml:space="preserve">Buy/Outsource PBCs Only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Vendor Interface Contract mapping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ACL design (if schema stability score ≤3)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Consumer-driven contract test plan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Vendor technology compatibility matrix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ACL technology stack (if required)</w:t>
      </w:r>
      <w:r>
        <w:t xml:space="preserve"> </w:t>
      </w:r>
      <w:r>
        <w:rPr>
          <w:b/>
          <w:bCs/>
        </w:rPr>
        <w:t xml:space="preserve">(NEW v1.5)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Technology Specifications Review (v1.5)</w:t>
      </w:r>
    </w:p>
    <w:p>
      <w:pPr>
        <w:spacing w:after="120"/>
      </w:pPr>
      <w:r>
        <w:t xml:space="preserve">Complete technology specifications using PBC Template Section 18 </w:t>
      </w:r>
      <w:r>
        <w:t xml:space="preserve">[</w:t>
      </w:r>
      <w:r>
        <w:t xml:space="preserve">G-CAF-COMPANION-001a]:</w:t>
      </w:r>
    </w:p>
    <w:p>
      <w:pPr>
        <w:spacing w:after="120"/>
      </w:pPr>
      <w:r>
        <w:rPr>
          <w:b/>
          <w:bCs/>
        </w:rPr>
        <w:t xml:space="preserve">Required Subsections: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18.1 Technology Stack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layers with Catalog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18.2 Data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Database, cache, search 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18.3 Application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Backend, frontend, API 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18.4 Integration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gateway, message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18.5 Infrastructure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Cloud, compute, containers, IaC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18.6 Security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IAM, secrets, security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Team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18.7 Operations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CI/CD, monitoring, 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18.8 Vendor Technology (Buy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stack, compatibility, ACL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Technical Committee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18.9 Non-Standard Justification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Exception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DDA/ARB approval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Mandatory Checks: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All technology choices documented in Section 18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Each technology has Catalog status declared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Strategic technologies used as default (no justification needed)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Tactical technologies have documented justification and DDA approval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No Containment or Retired technologies (unless ARB exception granted)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Technology compliance score calculated (Strategic % target: &gt;80%)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Infrastructure requirements defined (compute, storage, network)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Security tools specified per SAL requirements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CI/CD pipeline designed with approved tools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Monitoring and observability stack specified</w:t>
      </w:r>
    </w:p>
    <w:p>
      <w:pPr>
        <w:spacing w:after="120"/>
      </w:pPr>
      <w:r>
        <w:rPr>
          <w:b/>
          <w:bCs/>
        </w:rPr>
        <w:t xml:space="preserve">Approval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documentation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Tactical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Justification in Section 18.9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Exception (Containment)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business case; migration plan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in Catalog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add to Catalog as Tactical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If technology compliance score &lt;80%:</w:t>
      </w:r>
      <w:r>
        <w:t xml:space="preserve"> Document improvement plan and timeline.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Vendor Technology Assessment (Buy/Outsource) (v1.5)</w:t>
      </w:r>
    </w:p>
    <w:p>
      <w:pPr>
        <w:spacing w:after="120"/>
      </w:pPr>
      <w:r>
        <w:t xml:space="preserve">Complete vendor technology compatibility assessment per Section 18.8:</w:t>
      </w:r>
    </w:p>
    <w:p>
      <w:pPr>
        <w:spacing w:after="120"/>
      </w:pPr>
      <w:r>
        <w:rPr>
          <w:b/>
          <w:bCs/>
        </w:rPr>
        <w:t xml:space="preserve">Compatibility Matrix: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technology in Catalog (Strategic/Tactical)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 integration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ACL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 not in Catalog or proprietary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Anti-Corruption Layer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Incompatible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 in Containment/Retired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 or require vendor upgrade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ACL Design Requirements (if required):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ACL architecture documented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ACL technology stack uses Strategic technologies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ACL registered as separate PBC (if significant)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Interface contract defined (ACL owns contract; vendor changes absorbed)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Anti-Pattern Check (v1.2)</w:t>
      </w:r>
    </w:p>
    <w:p>
      <w:pPr>
        <w:spacing w:after="120"/>
      </w:pPr>
      <w:r>
        <w:t xml:space="preserve">Review against </w:t>
      </w:r>
      <w:r>
        <w:rPr>
          <w:rFonts w:ascii="Consolas" w:cs="Consolas" w:eastAsia="Consolas" w:hAnsi="Consolas"/>
          <w:shd w:fill="F0F0F0"/>
        </w:rPr>
        <w:t xml:space="preserve">pbc-anti-patterns.md</w:t>
      </w:r>
      <w:r>
        <w:t xml:space="preserve"> </w:t>
      </w:r>
      <w:r>
        <w:t xml:space="preserve">[</w:t>
      </w:r>
      <w:r>
        <w:t xml:space="preserve">G-CAF-054]:</w:t>
      </w:r>
    </w:p>
    <w:p>
      <w:pPr>
        <w:spacing w:after="120"/>
      </w:pPr>
      <w:r>
        <w:rPr>
          <w:b/>
          <w:bCs/>
        </w:rPr>
        <w:t xml:space="preserve">Blocking Anti-Patterns at Design:</w:t>
      </w:r>
    </w:p>
    <w:p>
      <w:pPr>
        <w:pStyle w:val="ListParagraph"/>
        <w:numPr>
          <w:ilvl w:val="0"/>
          <w:numId w:val="7"/>
        </w:numPr>
      </w:pPr>
      <w:r>
        <w:t xml:space="preserve">Leaking Domain Logic</w:t>
      </w:r>
    </w:p>
    <w:p>
      <w:pPr>
        <w:pStyle w:val="ListParagraph"/>
        <w:numPr>
          <w:ilvl w:val="0"/>
          <w:numId w:val="7"/>
        </w:numPr>
      </w:pPr>
      <w:r>
        <w:t xml:space="preserve">Chatty Interfaces</w:t>
      </w:r>
    </w:p>
    <w:p>
      <w:pPr>
        <w:pStyle w:val="ListParagraph"/>
        <w:numPr>
          <w:ilvl w:val="0"/>
          <w:numId w:val="7"/>
        </w:numPr>
      </w:pPr>
      <w:r>
        <w:t xml:space="preserve">Shared Database</w:t>
      </w:r>
    </w:p>
    <w:p>
      <w:pPr>
        <w:pStyle w:val="ListParagraph"/>
        <w:numPr>
          <w:ilvl w:val="0"/>
          <w:numId w:val="7"/>
        </w:numPr>
      </w:pPr>
      <w:r>
        <w:t xml:space="preserve">Ignoring Stability Tier</w:t>
      </w:r>
    </w:p>
    <w:p>
      <w:pPr>
        <w:spacing w:after="120"/>
      </w:pPr>
      <w:r>
        <w:rPr>
          <w:b/>
          <w:bCs/>
        </w:rPr>
        <w:t xml:space="preserve">If anti-pattern detected:</w:t>
      </w:r>
      <w:r>
        <w:t xml:space="preserve"> Must remediate before gateway approval.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Exit Criteria</w:t>
      </w:r>
    </w:p>
    <w:p>
      <w:pPr>
        <w:spacing w:after="120"/>
      </w:pPr>
      <w:r>
        <w:t xml:space="preserve">✅ Architecture compliant with G-CAF principles</w:t>
      </w:r>
    </w:p>
    <w:p>
      <w:pPr>
        <w:spacing w:after="120"/>
      </w:pPr>
      <w:r>
        <w:t xml:space="preserve">✅ Interface Contract complete and approved</w:t>
      </w:r>
    </w:p>
    <w:p>
      <w:pPr>
        <w:spacing w:after="120"/>
      </w:pPr>
      <w:r>
        <w:t xml:space="preserve">✅ Standard contract compliance verified</w:t>
      </w:r>
    </w:p>
    <w:p>
      <w:pPr>
        <w:spacing w:after="120"/>
      </w:pPr>
      <w:r>
        <w:t xml:space="preserve">✅ GovDX integration design validated</w:t>
      </w:r>
    </w:p>
    <w:p>
      <w:pPr>
        <w:spacing w:after="120"/>
      </w:pPr>
      <w:r>
        <w:t xml:space="preserve">✅ Security architecture approved (per SAL)</w:t>
      </w:r>
    </w:p>
    <w:p>
      <w:pPr>
        <w:spacing w:after="120"/>
      </w:pPr>
      <w:r>
        <w:t xml:space="preserve">✅ NFR targets defined</w:t>
      </w:r>
    </w:p>
    <w:p>
      <w:pPr>
        <w:spacing w:after="120"/>
      </w:pPr>
      <w:r>
        <w:t xml:space="preserve">✅ No blocking anti-patterns</w:t>
      </w:r>
    </w:p>
    <w:p>
      <w:pPr>
        <w:spacing w:after="120"/>
      </w:pPr>
      <w:r>
        <w:t xml:space="preserve">✅ ACL designed (if required for vendor PBC)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Technology specifications complete (Section 18)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All technologies Strategic or Tactical (approved)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DDA approval for Tactical technologies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ARB approval for exceptions (if any)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Vendor technology compatibility validated (Buy/Outsource)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Proceed to Implementation (then Go-Live Gateway)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Decision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Then...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 non-compliant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Redesign per G-CAF principles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 Contract incomplete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specification before approval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requirements unmet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 security architecture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NFR targets unrealistic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Adjust targets with DDA guidance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anti-pattern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Remediate before proceeding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schema unstable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ACL; document in architecture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Tactical technology requested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justification; obtain DDA approval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Exception requested (Containment)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Escalate to ARB; require migration plan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compliance &lt;80%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improvement plan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Vendor technology incompatible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Design ACL or reject vendor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Common Rejections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Interface Contract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OpenAPI 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Incomplete security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 per SAL requirements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integration unclear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Clarify integration approach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anti-patterns present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Refactor design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ACL not designed (when required)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ACL per integration patterns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specifications incomplete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Complete Section 18 in PBC Template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Unapproved Tactical 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justification; obtain DDA approval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Containment technology without 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Replace with Strategic/Tactical or obtain ARB exception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Module Metadata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process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Specific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2025 (v1.5)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G-CAF-041 (dda.md)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conducts Design review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G-CAF-070-073 (contracts)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contract compliance verified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G-CAF-043 (technology-standards-catalog.md)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 choices validated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G-CAF-047 (Reference Architecture)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compliance checked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G-CAF-080 (interface-framework.md)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 contracts defined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G-CAF-090 (gateway-initiation.md)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Previous gateway in sequence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G-CAF-092 (gateway-golive.md)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 gateway in sequence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UC11: Conduct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65E3EBB1-F9E0-4CCD-B630-C0D3F2392528}"/>
</file>

<file path=customXml/itemProps2.xml><?xml version="1.0" encoding="utf-8"?>
<ds:datastoreItem xmlns:ds="http://schemas.openxmlformats.org/officeDocument/2006/customXml" ds:itemID="{D8BA3009-764C-4950-A0E8-F24B317FC4F6}"/>
</file>

<file path=customXml/itemProps3.xml><?xml version="1.0" encoding="utf-8"?>
<ds:datastoreItem xmlns:ds="http://schemas.openxmlformats.org/officeDocument/2006/customXml" ds:itemID="{254102BB-222A-430C-8EDE-6425806E0CB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2025-12-09T05:10:39Z</dcterms:created>
  <dcterms:modified xsi:type="dcterms:W3CDTF">2025-12-09T05:10:39Z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2025-12-16T06:50:38Z</vt:lpwstr>
  </property>
  <property fmtid="{D5CDD505-2E9C-101B-9397-08002B2CF9AE}" pid="11" name="MSIP_Label_44b50724-87c1-4b02-94c8-e7d88c4f4b62_ActionId">
    <vt:lpwstr>840a03dd-6eff-4cda-acac-70c89c9b26be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5e0e2577,90b2f1e,1b64330a</vt:lpwstr>
  </property>
  <property fmtid="{D5CDD505-2E9C-101B-9397-08002B2CF9AE}" pid="15" name="ClassificationContentMarkingFooterFontProps">
    <vt:lpwstr>#0071bd,10,Calibri</vt:lpwstr>
  </property>
</Properties>
</file>