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Experimental Workflow (First 4 Steps)</w:t>
      </w:r>
    </w:p>
    <w:p>
      <w:pPr>
        <w:pStyle w:val="Heading1"/>
      </w:pPr>
      <w:r>
        <w:t xml:space="preserve">1. **Deck and Carrier Preparation**  </w:t>
      </w:r>
    </w:p>
    <w:p>
      <w:r>
        <w:t xml:space="preserve">   *Action:* Mount a 96‑well PCR plate (SBS, 200 µL capacity) on the RGA finger set “Plate‑96‑SBS” in the central deck slot. Place a 1 mL reagent reservoir (SDS‑compatible) on the FCA carrier “Reservoir‑1mL” and a 96‑channel tip box (filtered, 200 µL tips) on the FCA carrier “TipBox‑200µL”.  </w:t>
      </w:r>
    </w:p>
    <w:p>
      <w:r>
        <w:t xml:space="preserve">   *Parameters:* Plate type: 96‑well, 200 µL; Reservoir: 1 mL; Tip box: 200 µL, filtered.  </w:t>
      </w:r>
    </w:p>
    <w:p>
      <w:r>
        <w:t xml:space="preserve">   *Fluent‑specific:* Assign the plate to site A1, reservoir to site B1, tip box to site C1. Enable “Tip‑Check” interlock for all 96 channels. [source:Operating Manual Fluent V2.md, score=0.398]</w:t>
      </w:r>
    </w:p>
    <w:p>
      <w:pPr>
        <w:pStyle w:val="Heading1"/>
      </w:pPr>
      <w:r>
        <w:t xml:space="preserve">2. **Reagent Loading – Buffer Matrix**  </w:t>
      </w:r>
    </w:p>
    <w:p>
      <w:r>
        <w:t xml:space="preserve">   *Action:* Using the 8‑channel arm, dispense 50 µL of each buffer condition into the first 8 wells of the plate (wells A1–H1).  </w:t>
      </w:r>
    </w:p>
    <w:p>
      <w:r>
        <w:t xml:space="preserve">   *Parameters:* Volume: 50 µL; Temperature: 4 °C; Liquid class: “Standard‑96‑well‑Low‑Speed” (to minimise shear on surface‑displayed PETase).  </w:t>
      </w:r>
    </w:p>
    <w:p>
      <w:r>
        <w:t xml:space="preserve">   *Fluent‑specific:* Channels 1–8, tip type: filtered 200 µL, speed: 200 µL/s, dwell: 0.5 s. Set “Mix‑Cycles” to 3 for each dispense. [source:FluentControl Application Software Manual 3.7 SP1.md, score=0.457]</w:t>
      </w:r>
    </w:p>
    <w:p>
      <w:pPr>
        <w:pStyle w:val="Heading1"/>
      </w:pPr>
      <w:r>
        <w:t xml:space="preserve">3. **Enzyme Dispensation – PETase Concentration Gradient**  </w:t>
      </w:r>
    </w:p>
    <w:p>
      <w:r>
        <w:t xml:space="preserve">   *Action:* Dispense 10 µL of PETase stock (10 µg/mL) into wells A2–H2, varying concentration across the row (e.g., 0.1, 0.2, …, 1.0 µg/mL).  </w:t>
      </w:r>
    </w:p>
    <w:p>
      <w:r>
        <w:t xml:space="preserve">   *Parameters:* Volume: 10 µL; Temperature: 25 °C; Liquid class: “Mix‑96‑well‑Fast” (to ensure rapid mixing).  </w:t>
      </w:r>
    </w:p>
    <w:p>
      <w:r>
        <w:t xml:space="preserve">   *Fluent‑specific:* Channels 1–8, tip type: filtered 200 µL, speed: 300 µL/s, mix: 5 × 5 µL. Use “Tip‑Exchange” after every 12 wells to avoid cross‑contamination. [source:Operating Manual Fluent V2.md, score=0.398]</w:t>
      </w:r>
    </w:p>
    <w:p>
      <w:pPr>
        <w:pStyle w:val="Heading1"/>
      </w:pPr>
      <w:r>
        <w:t xml:space="preserve">4. **Incubation – Surface Display Activation**  </w:t>
      </w:r>
    </w:p>
    <w:p>
      <w:r>
        <w:t xml:space="preserve">   *Action:* Transfer the plate to the incubator‑shaker (DeviceID INC‑01) set to 37 °C, 300 rpm.  </w:t>
      </w:r>
    </w:p>
    <w:p>
      <w:r>
        <w:t xml:space="preserve">   *Parameters:* Temperature: 37 °C; Shaking speed: 300 rpm; Time: 60 min.  </w:t>
      </w:r>
    </w:p>
    <w:p>
      <w:r>
        <w:t xml:space="preserve">   *Fluent‑specific:* Use the “Schedule‑Add” command to lock the plate in the incubator for 60 min. Ensure the incubator is pre‑equilibrated; enable “Temperature‑Check” interlock. [source:Operating Manual Fluent V2.md, score=0.398]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