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0B981"/>
          <w:sz w:val="18"/>
        </w:rPr>
        <w:t>PHASE 1 DELIVERABLE</w:t>
      </w:r>
    </w:p>
    <w:p>
      <w:pPr>
        <w:spacing w:after="80"/>
      </w:pPr>
      <w:r>
        <w:rPr>
          <w:rFonts w:ascii="Calibri" w:hAnsi="Calibri"/>
          <w:b/>
          <w:color w:val="00263F"/>
          <w:sz w:val="48"/>
        </w:rPr>
        <w:t>Professional UI Kit and Design System</w:t>
      </w:r>
    </w:p>
    <w:p>
      <w:pPr>
        <w:spacing w:after="280"/>
      </w:pPr>
      <w:r>
        <w:rPr>
          <w:rFonts w:ascii="Calibri" w:hAnsi="Calibri"/>
          <w:color w:val="5B6472"/>
          <w:sz w:val="22"/>
        </w:rPr>
        <w:t>Reusable visual standards derived from the Stitch Novessa Foundation Impact Portal designs.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340"/>
            <w:shd w:fill="00263F"/>
            <w:vAlign w:val="center"/>
          </w:tcPr>
          <w:p>
            <w:pPr>
              <w:spacing w:after="0"/>
            </w:pPr>
            <w:r/>
            <w:r>
              <w:rPr>
                <w:rFonts w:ascii="Calibri" w:hAnsi="Calibri"/>
                <w:b/>
                <w:color w:val="FFFFFF"/>
                <w:sz w:val="17"/>
              </w:rPr>
              <w:t>Project</w:t>
            </w:r>
          </w:p>
        </w:tc>
        <w:tc>
          <w:tcPr>
            <w:tcW w:type="dxa" w:w="2340"/>
            <w:shd w:fill="F8F9FF"/>
            <w:vAlign w:val="center"/>
          </w:tcPr>
          <w:p>
            <w:pPr>
              <w:spacing w:after="0"/>
            </w:pPr>
            <w:r/>
            <w:r>
              <w:rPr>
                <w:rFonts w:ascii="Calibri" w:hAnsi="Calibri"/>
                <w:b/>
                <w:color w:val="00263F"/>
                <w:sz w:val="17"/>
              </w:rPr>
              <w:t>Phase</w:t>
            </w:r>
          </w:p>
        </w:tc>
        <w:tc>
          <w:tcPr>
            <w:tcW w:type="dxa" w:w="2340"/>
            <w:shd w:fill="F8F9FF"/>
            <w:vAlign w:val="center"/>
          </w:tcPr>
          <w:p>
            <w:pPr>
              <w:spacing w:after="0"/>
            </w:pPr>
            <w:r/>
            <w:r>
              <w:rPr>
                <w:rFonts w:ascii="Calibri" w:hAnsi="Calibri"/>
                <w:b/>
                <w:color w:val="00263F"/>
                <w:sz w:val="17"/>
              </w:rPr>
              <w:t>Status</w:t>
            </w:r>
          </w:p>
        </w:tc>
        <w:tc>
          <w:tcPr>
            <w:tcW w:type="dxa" w:w="2340"/>
            <w:shd w:fill="F8F9FF"/>
            <w:vAlign w:val="center"/>
          </w:tcPr>
          <w:p>
            <w:pPr>
              <w:spacing w:after="0"/>
            </w:pPr>
            <w:r/>
            <w:r>
              <w:rPr>
                <w:rFonts w:ascii="Calibri" w:hAnsi="Calibri"/>
                <w:b/>
                <w:color w:val="00263F"/>
                <w:sz w:val="17"/>
              </w:rPr>
              <w:t>Basis</w:t>
            </w:r>
          </w:p>
        </w:tc>
      </w:tr>
      <w:tr>
        <w:tc>
          <w:tcPr>
            <w:tcW w:type="dxa" w:w="2340"/>
            <w:vAlign w:val="center"/>
          </w:tcPr>
          <w:p>
            <w:pPr>
              <w:spacing w:after="0"/>
            </w:pPr>
            <w:r/>
            <w:r>
              <w:rPr>
                <w:rFonts w:ascii="Calibri" w:hAnsi="Calibri"/>
                <w:b w:val="0"/>
                <w:color w:val="0B1C30"/>
                <w:sz w:val="18"/>
              </w:rPr>
              <w:t>Novessa Foundation</w:t>
            </w:r>
          </w:p>
        </w:tc>
        <w:tc>
          <w:tcPr>
            <w:tcW w:type="dxa" w:w="2340"/>
            <w:vAlign w:val="center"/>
          </w:tcPr>
          <w:p>
            <w:pPr>
              <w:spacing w:after="0"/>
            </w:pPr>
            <w:r/>
            <w:r>
              <w:rPr>
                <w:rFonts w:ascii="Calibri" w:hAnsi="Calibri"/>
                <w:b w:val="0"/>
                <w:color w:val="0B1C30"/>
                <w:sz w:val="18"/>
              </w:rPr>
              <w:t>Phase 1</w:t>
            </w:r>
          </w:p>
        </w:tc>
        <w:tc>
          <w:tcPr>
            <w:tcW w:type="dxa" w:w="2340"/>
            <w:vAlign w:val="center"/>
          </w:tcPr>
          <w:p>
            <w:pPr>
              <w:spacing w:after="0"/>
            </w:pPr>
            <w:r/>
            <w:r>
              <w:rPr>
                <w:rFonts w:ascii="Calibri" w:hAnsi="Calibri"/>
                <w:b w:val="0"/>
                <w:color w:val="0B1C30"/>
                <w:sz w:val="18"/>
              </w:rPr>
              <w:t>Handoff</w:t>
            </w:r>
          </w:p>
        </w:tc>
        <w:tc>
          <w:tcPr>
            <w:tcW w:type="dxa" w:w="2340"/>
            <w:vAlign w:val="center"/>
          </w:tcPr>
          <w:p>
            <w:pPr>
              <w:spacing w:after="0"/>
            </w:pPr>
            <w:r/>
            <w:r>
              <w:rPr>
                <w:rFonts w:ascii="Calibri" w:hAnsi="Calibri"/>
                <w:b w:val="0"/>
                <w:color w:val="0B1C30"/>
                <w:sz w:val="18"/>
              </w:rPr>
              <w:t>Stitch designs + contract</w:t>
            </w:r>
          </w:p>
        </w:tc>
      </w:tr>
    </w:tbl>
    <w:p/>
    <w:p>
      <w:pPr>
        <w:pStyle w:val="Heading1"/>
      </w:pPr>
      <w:r>
        <w:t>Design Direction</w:t>
      </w:r>
    </w:p>
    <w:p>
      <w:r>
        <w:t>The visual system balances trust, warmth, and operational clarity. Navy provides institutional reliability, emerald signals growth and positive outcomes, gold marks moments of action, and light surfaces keep content calm and readable.</w:t>
      </w:r>
    </w:p>
    <w:p>
      <w:pPr>
        <w:jc w:val="center"/>
      </w:pPr>
      <w:r>
        <w:drawing>
          <wp:inline xmlns:a="http://schemas.openxmlformats.org/drawingml/2006/main" xmlns:pic="http://schemas.openxmlformats.org/drawingml/2006/picture">
            <wp:extent cx="5943600" cy="3056709"/>
            <wp:docPr id="1" name="Picture 1"/>
            <wp:cNvGraphicFramePr>
              <a:graphicFrameLocks noChangeAspect="1"/>
            </wp:cNvGraphicFramePr>
            <a:graphic>
              <a:graphicData uri="http://schemas.openxmlformats.org/drawingml/2006/picture">
                <pic:pic>
                  <pic:nvPicPr>
                    <pic:cNvPr id="0" name="stitch_contact_sheet.png"/>
                    <pic:cNvPicPr/>
                  </pic:nvPicPr>
                  <pic:blipFill>
                    <a:blip r:embed="rId10"/>
                    <a:stretch>
                      <a:fillRect/>
                    </a:stretch>
                  </pic:blipFill>
                  <pic:spPr>
                    <a:xfrm>
                      <a:off x="0" y="0"/>
                      <a:ext cx="5943600" cy="3056709"/>
                    </a:xfrm>
                    <a:prstGeom prst="rect"/>
                  </pic:spPr>
                </pic:pic>
              </a:graphicData>
            </a:graphic>
          </wp:inline>
        </w:drawing>
      </w:r>
    </w:p>
    <w:p>
      <w:pPr>
        <w:pStyle w:val="Heading1"/>
      </w:pPr>
      <w:r>
        <w:t>Core Tokens</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944"/>
            <w:shd w:fill="00263F"/>
            <w:vAlign w:val="center"/>
          </w:tcPr>
          <w:p>
            <w:pPr>
              <w:spacing w:after="0"/>
            </w:pPr>
            <w:r/>
            <w:r>
              <w:rPr>
                <w:rFonts w:ascii="Calibri" w:hAnsi="Calibri"/>
                <w:b/>
                <w:color w:val="FFFFFF"/>
                <w:sz w:val="17"/>
              </w:rPr>
              <w:t>Token</w:t>
            </w:r>
          </w:p>
        </w:tc>
        <w:tc>
          <w:tcPr>
            <w:tcW w:type="dxa" w:w="1656"/>
            <w:shd w:fill="00263F"/>
            <w:vAlign w:val="center"/>
          </w:tcPr>
          <w:p>
            <w:pPr>
              <w:spacing w:after="0"/>
            </w:pPr>
            <w:r/>
            <w:r>
              <w:rPr>
                <w:rFonts w:ascii="Calibri" w:hAnsi="Calibri"/>
                <w:b/>
                <w:color w:val="FFFFFF"/>
                <w:sz w:val="17"/>
              </w:rPr>
              <w:t>Value</w:t>
            </w:r>
          </w:p>
        </w:tc>
        <w:tc>
          <w:tcPr>
            <w:tcW w:type="dxa" w:w="5760"/>
            <w:shd w:fill="00263F"/>
            <w:vAlign w:val="center"/>
          </w:tcPr>
          <w:p>
            <w:pPr>
              <w:spacing w:after="0"/>
            </w:pPr>
            <w:r/>
            <w:r>
              <w:rPr>
                <w:rFonts w:ascii="Calibri" w:hAnsi="Calibri"/>
                <w:b/>
                <w:color w:val="FFFFFF"/>
                <w:sz w:val="17"/>
              </w:rPr>
              <w:t>Use</w:t>
            </w:r>
          </w:p>
        </w:tc>
      </w:tr>
      <w:tr>
        <w:tc>
          <w:tcPr>
            <w:tcW w:type="dxa" w:w="1944"/>
            <w:shd w:fill="F8F9FF"/>
            <w:vAlign w:val="center"/>
          </w:tcPr>
          <w:p>
            <w:pPr>
              <w:spacing w:after="0"/>
            </w:pPr>
            <w:r/>
            <w:r>
              <w:rPr>
                <w:rFonts w:ascii="Calibri" w:hAnsi="Calibri"/>
                <w:b w:val="0"/>
                <w:color w:val="0B1C30"/>
                <w:sz w:val="17"/>
              </w:rPr>
              <w:t>Primary navy</w:t>
            </w:r>
          </w:p>
        </w:tc>
        <w:tc>
          <w:tcPr>
            <w:tcW w:type="dxa" w:w="1656"/>
            <w:shd w:fill="F8F9FF"/>
            <w:vAlign w:val="center"/>
          </w:tcPr>
          <w:p>
            <w:pPr>
              <w:spacing w:after="0"/>
            </w:pPr>
            <w:r/>
            <w:r>
              <w:rPr>
                <w:rFonts w:ascii="Calibri" w:hAnsi="Calibri"/>
                <w:b w:val="0"/>
                <w:color w:val="0B1C30"/>
                <w:sz w:val="17"/>
              </w:rPr>
              <w:t>#00263f</w:t>
            </w:r>
          </w:p>
        </w:tc>
        <w:tc>
          <w:tcPr>
            <w:tcW w:type="dxa" w:w="5760"/>
            <w:shd w:fill="F8F9FF"/>
            <w:vAlign w:val="center"/>
          </w:tcPr>
          <w:p>
            <w:pPr>
              <w:spacing w:after="0"/>
            </w:pPr>
            <w:r/>
            <w:r>
              <w:rPr>
                <w:rFonts w:ascii="Calibri" w:hAnsi="Calibri"/>
                <w:b w:val="0"/>
                <w:color w:val="0B1C30"/>
                <w:sz w:val="17"/>
              </w:rPr>
              <w:t>Headers, primary buttons, navigation emphasis</w:t>
            </w:r>
          </w:p>
        </w:tc>
      </w:tr>
      <w:tr>
        <w:tc>
          <w:tcPr>
            <w:tcW w:type="dxa" w:w="1944"/>
            <w:shd w:fill="FFFFFF"/>
            <w:vAlign w:val="center"/>
          </w:tcPr>
          <w:p>
            <w:pPr>
              <w:spacing w:after="0"/>
            </w:pPr>
            <w:r/>
            <w:r>
              <w:rPr>
                <w:rFonts w:ascii="Calibri" w:hAnsi="Calibri"/>
                <w:b w:val="0"/>
                <w:color w:val="0B1C30"/>
                <w:sz w:val="17"/>
              </w:rPr>
              <w:t>Emerald accent</w:t>
            </w:r>
          </w:p>
        </w:tc>
        <w:tc>
          <w:tcPr>
            <w:tcW w:type="dxa" w:w="1656"/>
            <w:shd w:fill="FFFFFF"/>
            <w:vAlign w:val="center"/>
          </w:tcPr>
          <w:p>
            <w:pPr>
              <w:spacing w:after="0"/>
            </w:pPr>
            <w:r/>
            <w:r>
              <w:rPr>
                <w:rFonts w:ascii="Calibri" w:hAnsi="Calibri"/>
                <w:b w:val="0"/>
                <w:color w:val="0B1C30"/>
                <w:sz w:val="17"/>
              </w:rPr>
              <w:t>#10b981</w:t>
            </w:r>
          </w:p>
        </w:tc>
        <w:tc>
          <w:tcPr>
            <w:tcW w:type="dxa" w:w="5760"/>
            <w:shd w:fill="FFFFFF"/>
            <w:vAlign w:val="center"/>
          </w:tcPr>
          <w:p>
            <w:pPr>
              <w:spacing w:after="0"/>
            </w:pPr>
            <w:r/>
            <w:r>
              <w:rPr>
                <w:rFonts w:ascii="Calibri" w:hAnsi="Calibri"/>
                <w:b w:val="0"/>
                <w:color w:val="0B1C30"/>
                <w:sz w:val="17"/>
              </w:rPr>
              <w:t>Positive status, impact emphasis, hover states</w:t>
            </w:r>
          </w:p>
        </w:tc>
      </w:tr>
      <w:tr>
        <w:tc>
          <w:tcPr>
            <w:tcW w:type="dxa" w:w="1944"/>
            <w:shd w:fill="F8F9FF"/>
            <w:vAlign w:val="center"/>
          </w:tcPr>
          <w:p>
            <w:pPr>
              <w:spacing w:after="0"/>
            </w:pPr>
            <w:r/>
            <w:r>
              <w:rPr>
                <w:rFonts w:ascii="Calibri" w:hAnsi="Calibri"/>
                <w:b w:val="0"/>
                <w:color w:val="0B1C30"/>
                <w:sz w:val="17"/>
              </w:rPr>
              <w:t>Gold secondary</w:t>
            </w:r>
          </w:p>
        </w:tc>
        <w:tc>
          <w:tcPr>
            <w:tcW w:type="dxa" w:w="1656"/>
            <w:shd w:fill="F8F9FF"/>
            <w:vAlign w:val="center"/>
          </w:tcPr>
          <w:p>
            <w:pPr>
              <w:spacing w:after="0"/>
            </w:pPr>
            <w:r/>
            <w:r>
              <w:rPr>
                <w:rFonts w:ascii="Calibri" w:hAnsi="Calibri"/>
                <w:b w:val="0"/>
                <w:color w:val="0B1C30"/>
                <w:sz w:val="17"/>
              </w:rPr>
              <w:t>#fea619</w:t>
            </w:r>
          </w:p>
        </w:tc>
        <w:tc>
          <w:tcPr>
            <w:tcW w:type="dxa" w:w="5760"/>
            <w:shd w:fill="F8F9FF"/>
            <w:vAlign w:val="center"/>
          </w:tcPr>
          <w:p>
            <w:pPr>
              <w:spacing w:after="0"/>
            </w:pPr>
            <w:r/>
            <w:r>
              <w:rPr>
                <w:rFonts w:ascii="Calibri" w:hAnsi="Calibri"/>
                <w:b w:val="0"/>
                <w:color w:val="0B1C30"/>
                <w:sz w:val="17"/>
              </w:rPr>
              <w:t>Donation/payment highlights and secondary accents</w:t>
            </w:r>
          </w:p>
        </w:tc>
      </w:tr>
      <w:tr>
        <w:tc>
          <w:tcPr>
            <w:tcW w:type="dxa" w:w="1944"/>
            <w:shd w:fill="FFFFFF"/>
            <w:vAlign w:val="center"/>
          </w:tcPr>
          <w:p>
            <w:pPr>
              <w:spacing w:after="0"/>
            </w:pPr>
            <w:r/>
            <w:r>
              <w:rPr>
                <w:rFonts w:ascii="Calibri" w:hAnsi="Calibri"/>
                <w:b w:val="0"/>
                <w:color w:val="0B1C30"/>
                <w:sz w:val="17"/>
              </w:rPr>
              <w:t>Light surface</w:t>
            </w:r>
          </w:p>
        </w:tc>
        <w:tc>
          <w:tcPr>
            <w:tcW w:type="dxa" w:w="1656"/>
            <w:shd w:fill="FFFFFF"/>
            <w:vAlign w:val="center"/>
          </w:tcPr>
          <w:p>
            <w:pPr>
              <w:spacing w:after="0"/>
            </w:pPr>
            <w:r/>
            <w:r>
              <w:rPr>
                <w:rFonts w:ascii="Calibri" w:hAnsi="Calibri"/>
                <w:b w:val="0"/>
                <w:color w:val="0B1C30"/>
                <w:sz w:val="17"/>
              </w:rPr>
              <w:t>#f8f9ff</w:t>
            </w:r>
          </w:p>
        </w:tc>
        <w:tc>
          <w:tcPr>
            <w:tcW w:type="dxa" w:w="5760"/>
            <w:shd w:fill="FFFFFF"/>
            <w:vAlign w:val="center"/>
          </w:tcPr>
          <w:p>
            <w:pPr>
              <w:spacing w:after="0"/>
            </w:pPr>
            <w:r/>
            <w:r>
              <w:rPr>
                <w:rFonts w:ascii="Calibri" w:hAnsi="Calibri"/>
                <w:b w:val="0"/>
                <w:color w:val="0B1C30"/>
                <w:sz w:val="17"/>
              </w:rPr>
              <w:t>Page background and low-contrast panels</w:t>
            </w:r>
          </w:p>
        </w:tc>
      </w:tr>
      <w:tr>
        <w:tc>
          <w:tcPr>
            <w:tcW w:type="dxa" w:w="1944"/>
            <w:shd w:fill="F8F9FF"/>
            <w:vAlign w:val="center"/>
          </w:tcPr>
          <w:p>
            <w:pPr>
              <w:spacing w:after="0"/>
            </w:pPr>
            <w:r/>
            <w:r>
              <w:rPr>
                <w:rFonts w:ascii="Calibri" w:hAnsi="Calibri"/>
                <w:b w:val="0"/>
                <w:color w:val="0B1C30"/>
                <w:sz w:val="17"/>
              </w:rPr>
              <w:t>Ink</w:t>
            </w:r>
          </w:p>
        </w:tc>
        <w:tc>
          <w:tcPr>
            <w:tcW w:type="dxa" w:w="1656"/>
            <w:shd w:fill="F8F9FF"/>
            <w:vAlign w:val="center"/>
          </w:tcPr>
          <w:p>
            <w:pPr>
              <w:spacing w:after="0"/>
            </w:pPr>
            <w:r/>
            <w:r>
              <w:rPr>
                <w:rFonts w:ascii="Calibri" w:hAnsi="Calibri"/>
                <w:b w:val="0"/>
                <w:color w:val="0B1C30"/>
                <w:sz w:val="17"/>
              </w:rPr>
              <w:t>#0b1c30</w:t>
            </w:r>
          </w:p>
        </w:tc>
        <w:tc>
          <w:tcPr>
            <w:tcW w:type="dxa" w:w="5760"/>
            <w:shd w:fill="F8F9FF"/>
            <w:vAlign w:val="center"/>
          </w:tcPr>
          <w:p>
            <w:pPr>
              <w:spacing w:after="0"/>
            </w:pPr>
            <w:r/>
            <w:r>
              <w:rPr>
                <w:rFonts w:ascii="Calibri" w:hAnsi="Calibri"/>
                <w:b w:val="0"/>
                <w:color w:val="0B1C30"/>
                <w:sz w:val="17"/>
              </w:rPr>
              <w:t>Primary copy and high-legibility labels</w:t>
            </w:r>
          </w:p>
        </w:tc>
      </w:tr>
      <w:tr>
        <w:tc>
          <w:tcPr>
            <w:tcW w:type="dxa" w:w="1944"/>
            <w:shd w:fill="FFFFFF"/>
            <w:vAlign w:val="center"/>
          </w:tcPr>
          <w:p>
            <w:pPr>
              <w:spacing w:after="0"/>
            </w:pPr>
            <w:r/>
            <w:r>
              <w:rPr>
                <w:rFonts w:ascii="Calibri" w:hAnsi="Calibri"/>
                <w:b w:val="0"/>
                <w:color w:val="0B1C30"/>
                <w:sz w:val="17"/>
              </w:rPr>
              <w:t>Border</w:t>
            </w:r>
          </w:p>
        </w:tc>
        <w:tc>
          <w:tcPr>
            <w:tcW w:type="dxa" w:w="1656"/>
            <w:shd w:fill="FFFFFF"/>
            <w:vAlign w:val="center"/>
          </w:tcPr>
          <w:p>
            <w:pPr>
              <w:spacing w:after="0"/>
            </w:pPr>
            <w:r/>
            <w:r>
              <w:rPr>
                <w:rFonts w:ascii="Calibri" w:hAnsi="Calibri"/>
                <w:b w:val="0"/>
                <w:color w:val="0B1C30"/>
                <w:sz w:val="17"/>
              </w:rPr>
              <w:t>#d3e4fe</w:t>
            </w:r>
          </w:p>
        </w:tc>
        <w:tc>
          <w:tcPr>
            <w:tcW w:type="dxa" w:w="5760"/>
            <w:shd w:fill="FFFFFF"/>
            <w:vAlign w:val="center"/>
          </w:tcPr>
          <w:p>
            <w:pPr>
              <w:spacing w:after="0"/>
            </w:pPr>
            <w:r/>
            <w:r>
              <w:rPr>
                <w:rFonts w:ascii="Calibri" w:hAnsi="Calibri"/>
                <w:b w:val="0"/>
                <w:color w:val="0B1C30"/>
                <w:sz w:val="17"/>
              </w:rPr>
              <w:t>Quiet separators and diagram boundaries</w:t>
            </w:r>
          </w:p>
        </w:tc>
      </w:tr>
    </w:tbl>
    <w:p/>
    <w:p>
      <w:pPr>
        <w:pStyle w:val="Heading1"/>
      </w:pPr>
      <w:r>
        <w:t>Component Guidance</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2088"/>
            <w:shd w:fill="00263F"/>
            <w:vAlign w:val="center"/>
          </w:tcPr>
          <w:p>
            <w:pPr>
              <w:spacing w:after="0"/>
            </w:pPr>
            <w:r/>
            <w:r>
              <w:rPr>
                <w:rFonts w:ascii="Calibri" w:hAnsi="Calibri"/>
                <w:b/>
                <w:color w:val="FFFFFF"/>
                <w:sz w:val="17"/>
              </w:rPr>
              <w:t>Component</w:t>
            </w:r>
          </w:p>
        </w:tc>
        <w:tc>
          <w:tcPr>
            <w:tcW w:type="dxa" w:w="4392"/>
            <w:shd w:fill="00263F"/>
            <w:vAlign w:val="center"/>
          </w:tcPr>
          <w:p>
            <w:pPr>
              <w:spacing w:after="0"/>
            </w:pPr>
            <w:r/>
            <w:r>
              <w:rPr>
                <w:rFonts w:ascii="Calibri" w:hAnsi="Calibri"/>
                <w:b/>
                <w:color w:val="FFFFFF"/>
                <w:sz w:val="17"/>
              </w:rPr>
              <w:t>Design rule</w:t>
            </w:r>
          </w:p>
        </w:tc>
        <w:tc>
          <w:tcPr>
            <w:tcW w:type="dxa" w:w="2880"/>
            <w:shd w:fill="00263F"/>
            <w:vAlign w:val="center"/>
          </w:tcPr>
          <w:p>
            <w:pPr>
              <w:spacing w:after="0"/>
            </w:pPr>
            <w:r/>
            <w:r>
              <w:rPr>
                <w:rFonts w:ascii="Calibri" w:hAnsi="Calibri"/>
                <w:b/>
                <w:color w:val="FFFFFF"/>
                <w:sz w:val="17"/>
              </w:rPr>
              <w:t>Accessibility note</w:t>
            </w:r>
          </w:p>
        </w:tc>
      </w:tr>
      <w:tr>
        <w:tc>
          <w:tcPr>
            <w:tcW w:type="dxa" w:w="2088"/>
            <w:shd w:fill="F8F9FF"/>
            <w:vAlign w:val="center"/>
          </w:tcPr>
          <w:p>
            <w:pPr>
              <w:spacing w:after="0"/>
            </w:pPr>
            <w:r/>
            <w:r>
              <w:rPr>
                <w:rFonts w:ascii="Calibri" w:hAnsi="Calibri"/>
                <w:b w:val="0"/>
                <w:color w:val="0B1C30"/>
                <w:sz w:val="17"/>
              </w:rPr>
              <w:t>Navigation</w:t>
            </w:r>
          </w:p>
        </w:tc>
        <w:tc>
          <w:tcPr>
            <w:tcW w:type="dxa" w:w="4392"/>
            <w:shd w:fill="F8F9FF"/>
            <w:vAlign w:val="center"/>
          </w:tcPr>
          <w:p>
            <w:pPr>
              <w:spacing w:after="0"/>
            </w:pPr>
            <w:r/>
            <w:r>
              <w:rPr>
                <w:rFonts w:ascii="Calibri" w:hAnsi="Calibri"/>
                <w:b w:val="0"/>
                <w:color w:val="0B1C30"/>
                <w:sz w:val="17"/>
              </w:rPr>
              <w:t>Use restrained text links with a strong donate action.</w:t>
            </w:r>
          </w:p>
        </w:tc>
        <w:tc>
          <w:tcPr>
            <w:tcW w:type="dxa" w:w="2880"/>
            <w:shd w:fill="F8F9FF"/>
            <w:vAlign w:val="center"/>
          </w:tcPr>
          <w:p>
            <w:pPr>
              <w:spacing w:after="0"/>
            </w:pPr>
            <w:r/>
            <w:r>
              <w:rPr>
                <w:rFonts w:ascii="Calibri" w:hAnsi="Calibri"/>
                <w:b w:val="0"/>
                <w:color w:val="0B1C30"/>
                <w:sz w:val="17"/>
              </w:rPr>
              <w:t>Keep focus states visible and maintain keyboard order.</w:t>
            </w:r>
          </w:p>
        </w:tc>
      </w:tr>
      <w:tr>
        <w:tc>
          <w:tcPr>
            <w:tcW w:type="dxa" w:w="2088"/>
            <w:shd w:fill="FFFFFF"/>
            <w:vAlign w:val="center"/>
          </w:tcPr>
          <w:p>
            <w:pPr>
              <w:spacing w:after="0"/>
            </w:pPr>
            <w:r/>
            <w:r>
              <w:rPr>
                <w:rFonts w:ascii="Calibri" w:hAnsi="Calibri"/>
                <w:b w:val="0"/>
                <w:color w:val="0B1C30"/>
                <w:sz w:val="17"/>
              </w:rPr>
              <w:t>Cards</w:t>
            </w:r>
          </w:p>
        </w:tc>
        <w:tc>
          <w:tcPr>
            <w:tcW w:type="dxa" w:w="4392"/>
            <w:shd w:fill="FFFFFF"/>
            <w:vAlign w:val="center"/>
          </w:tcPr>
          <w:p>
            <w:pPr>
              <w:spacing w:after="0"/>
            </w:pPr>
            <w:r/>
            <w:r>
              <w:rPr>
                <w:rFonts w:ascii="Calibri" w:hAnsi="Calibri"/>
                <w:b w:val="0"/>
                <w:color w:val="0B1C30"/>
                <w:sz w:val="17"/>
              </w:rPr>
              <w:t>Use compact radius, clear image crops, and a single dominant action.</w:t>
            </w:r>
          </w:p>
        </w:tc>
        <w:tc>
          <w:tcPr>
            <w:tcW w:type="dxa" w:w="2880"/>
            <w:shd w:fill="FFFFFF"/>
            <w:vAlign w:val="center"/>
          </w:tcPr>
          <w:p>
            <w:pPr>
              <w:spacing w:after="0"/>
            </w:pPr>
            <w:r/>
            <w:r>
              <w:rPr>
                <w:rFonts w:ascii="Calibri" w:hAnsi="Calibri"/>
                <w:b w:val="0"/>
                <w:color w:val="0B1C30"/>
                <w:sz w:val="17"/>
              </w:rPr>
              <w:t>Avoid text over busy images unless contrast is guaranteed.</w:t>
            </w:r>
          </w:p>
        </w:tc>
      </w:tr>
      <w:tr>
        <w:tc>
          <w:tcPr>
            <w:tcW w:type="dxa" w:w="2088"/>
            <w:shd w:fill="F8F9FF"/>
            <w:vAlign w:val="center"/>
          </w:tcPr>
          <w:p>
            <w:pPr>
              <w:spacing w:after="0"/>
            </w:pPr>
            <w:r/>
            <w:r>
              <w:rPr>
                <w:rFonts w:ascii="Calibri" w:hAnsi="Calibri"/>
                <w:b w:val="0"/>
                <w:color w:val="0B1C30"/>
                <w:sz w:val="17"/>
              </w:rPr>
              <w:t>Forms</w:t>
            </w:r>
          </w:p>
        </w:tc>
        <w:tc>
          <w:tcPr>
            <w:tcW w:type="dxa" w:w="4392"/>
            <w:shd w:fill="F8F9FF"/>
            <w:vAlign w:val="center"/>
          </w:tcPr>
          <w:p>
            <w:pPr>
              <w:spacing w:after="0"/>
            </w:pPr>
            <w:r/>
            <w:r>
              <w:rPr>
                <w:rFonts w:ascii="Calibri" w:hAnsi="Calibri"/>
                <w:b w:val="0"/>
                <w:color w:val="0B1C30"/>
                <w:sz w:val="17"/>
              </w:rPr>
              <w:t>Group fields by user intent and keep success states explicit.</w:t>
            </w:r>
          </w:p>
        </w:tc>
        <w:tc>
          <w:tcPr>
            <w:tcW w:type="dxa" w:w="2880"/>
            <w:shd w:fill="F8F9FF"/>
            <w:vAlign w:val="center"/>
          </w:tcPr>
          <w:p>
            <w:pPr>
              <w:spacing w:after="0"/>
            </w:pPr>
            <w:r/>
            <w:r>
              <w:rPr>
                <w:rFonts w:ascii="Calibri" w:hAnsi="Calibri"/>
                <w:b w:val="0"/>
                <w:color w:val="0B1C30"/>
                <w:sz w:val="17"/>
              </w:rPr>
              <w:t>Labels must remain visible; errors should be text plus color.</w:t>
            </w:r>
          </w:p>
        </w:tc>
      </w:tr>
      <w:tr>
        <w:tc>
          <w:tcPr>
            <w:tcW w:type="dxa" w:w="2088"/>
            <w:shd w:fill="FFFFFF"/>
            <w:vAlign w:val="center"/>
          </w:tcPr>
          <w:p>
            <w:pPr>
              <w:spacing w:after="0"/>
            </w:pPr>
            <w:r/>
            <w:r>
              <w:rPr>
                <w:rFonts w:ascii="Calibri" w:hAnsi="Calibri"/>
                <w:b w:val="0"/>
                <w:color w:val="0B1C30"/>
                <w:sz w:val="17"/>
              </w:rPr>
              <w:t>Impact dashboard</w:t>
            </w:r>
          </w:p>
        </w:tc>
        <w:tc>
          <w:tcPr>
            <w:tcW w:type="dxa" w:w="4392"/>
            <w:shd w:fill="FFFFFF"/>
            <w:vAlign w:val="center"/>
          </w:tcPr>
          <w:p>
            <w:pPr>
              <w:spacing w:after="0"/>
            </w:pPr>
            <w:r/>
            <w:r>
              <w:rPr>
                <w:rFonts w:ascii="Calibri" w:hAnsi="Calibri"/>
                <w:b w:val="0"/>
                <w:color w:val="0B1C30"/>
                <w:sz w:val="17"/>
              </w:rPr>
              <w:t>Lead with metrics, then stories and reports.</w:t>
            </w:r>
          </w:p>
        </w:tc>
        <w:tc>
          <w:tcPr>
            <w:tcW w:type="dxa" w:w="2880"/>
            <w:shd w:fill="FFFFFF"/>
            <w:vAlign w:val="center"/>
          </w:tcPr>
          <w:p>
            <w:pPr>
              <w:spacing w:after="0"/>
            </w:pPr>
            <w:r/>
            <w:r>
              <w:rPr>
                <w:rFonts w:ascii="Calibri" w:hAnsi="Calibri"/>
                <w:b w:val="0"/>
                <w:color w:val="0B1C30"/>
                <w:sz w:val="17"/>
              </w:rPr>
              <w:t>Charts require labels, not color-only meaning.</w:t>
            </w:r>
          </w:p>
        </w:tc>
      </w:tr>
      <w:tr>
        <w:tc>
          <w:tcPr>
            <w:tcW w:type="dxa" w:w="2088"/>
            <w:shd w:fill="F8F9FF"/>
            <w:vAlign w:val="center"/>
          </w:tcPr>
          <w:p>
            <w:pPr>
              <w:spacing w:after="0"/>
            </w:pPr>
            <w:r/>
            <w:r>
              <w:rPr>
                <w:rFonts w:ascii="Calibri" w:hAnsi="Calibri"/>
                <w:b w:val="0"/>
                <w:color w:val="0B1C30"/>
                <w:sz w:val="17"/>
              </w:rPr>
              <w:t>Donation flow</w:t>
            </w:r>
          </w:p>
        </w:tc>
        <w:tc>
          <w:tcPr>
            <w:tcW w:type="dxa" w:w="4392"/>
            <w:shd w:fill="F8F9FF"/>
            <w:vAlign w:val="center"/>
          </w:tcPr>
          <w:p>
            <w:pPr>
              <w:spacing w:after="0"/>
            </w:pPr>
            <w:r/>
            <w:r>
              <w:rPr>
                <w:rFonts w:ascii="Calibri" w:hAnsi="Calibri"/>
                <w:b w:val="0"/>
                <w:color w:val="0B1C30"/>
                <w:sz w:val="17"/>
              </w:rPr>
              <w:t>Make amount, method, and confirmation states unmistakable.</w:t>
            </w:r>
          </w:p>
        </w:tc>
        <w:tc>
          <w:tcPr>
            <w:tcW w:type="dxa" w:w="2880"/>
            <w:shd w:fill="F8F9FF"/>
            <w:vAlign w:val="center"/>
          </w:tcPr>
          <w:p>
            <w:pPr>
              <w:spacing w:after="0"/>
            </w:pPr>
            <w:r/>
            <w:r>
              <w:rPr>
                <w:rFonts w:ascii="Calibri" w:hAnsi="Calibri"/>
                <w:b w:val="0"/>
                <w:color w:val="0B1C30"/>
                <w:sz w:val="17"/>
              </w:rPr>
              <w:t>Payment failure and success pages must be clear at first glance.</w:t>
            </w:r>
          </w:p>
        </w:tc>
      </w:tr>
    </w:tbl>
    <w:p/>
    <w:p>
      <w:pPr>
        <w:pStyle w:val="Heading1"/>
      </w:pPr>
      <w:r>
        <w:t>Responsive Standards</w:t>
      </w:r>
    </w:p>
    <w:p>
      <w:pPr>
        <w:pStyle w:val="ListBullet"/>
        <w:spacing w:after="80"/>
      </w:pPr>
      <w:r>
        <w:t>Desktop layouts prioritize scanning, comparison, and confident next actions.</w:t>
      </w:r>
    </w:p>
    <w:p>
      <w:pPr>
        <w:pStyle w:val="ListBullet"/>
        <w:spacing w:after="80"/>
      </w:pPr>
      <w:r>
        <w:t>Mobile layouts collapse into single-column flows with obvious navigation recovery.</w:t>
      </w:r>
    </w:p>
    <w:p>
      <w:pPr>
        <w:pStyle w:val="ListBullet"/>
        <w:spacing w:after="80"/>
      </w:pPr>
      <w:r>
        <w:t>Buttons, form controls, and payment choices must remain large enough for touch.</w:t>
      </w:r>
    </w:p>
    <w:p>
      <w:pPr>
        <w:pStyle w:val="ListBullet"/>
        <w:spacing w:after="80"/>
      </w:pPr>
      <w:r>
        <w:t>Every page should preserve the nonprofit tone: human, trustworthy, and practical.</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472"/>
        <w:sz w:val="16"/>
      </w:rPr>
      <w:t>Novessa Foundation Phase 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color w:val="0B1C3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00263F"/>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00263F"/>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0B98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