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B981"/>
          <w:sz w:val="18"/>
        </w:rPr>
        <w:t>PHASE 1 DELIVERABLE</w:t>
      </w:r>
    </w:p>
    <w:p>
      <w:pPr>
        <w:spacing w:after="80"/>
      </w:pPr>
      <w:r>
        <w:rPr>
          <w:rFonts w:ascii="Calibri" w:hAnsi="Calibri"/>
          <w:b/>
          <w:color w:val="00263F"/>
          <w:sz w:val="48"/>
        </w:rPr>
        <w:t>Prototype and Backend QA Test Checklist</w:t>
      </w:r>
    </w:p>
    <w:p>
      <w:pPr>
        <w:spacing w:after="280"/>
      </w:pPr>
      <w:r>
        <w:rPr>
          <w:rFonts w:ascii="Calibri" w:hAnsi="Calibri"/>
          <w:color w:val="5B6472"/>
          <w:sz w:val="22"/>
        </w:rPr>
        <w:t>Phase 1 acceptance checklist for design review, accessibility, payment sandbox behavior, email behavior, and operational readiness.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Phase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Status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Basis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Novessa Foundation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Phase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Handoff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Stitch designs + contract</w:t>
            </w:r>
          </w:p>
        </w:tc>
      </w:tr>
    </w:tbl>
    <w:p/>
    <w:p>
      <w:pPr>
        <w:pStyle w:val="Heading1"/>
      </w:pPr>
      <w:r>
        <w:t>Prototype Review Checklist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750"/>
        <w:gridCol w:w="2560"/>
      </w:tblGrid>
      <w:tr>
        <w:tc>
          <w:tcPr>
            <w:tcW w:type="dxa" w:w="20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7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56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Homepage visual hierarchy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Mission, impact, and primary actions are clear without scrolling confusion.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Ready for review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Core page coverage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Home, About, Programs, Blog, Contact, Donate, Admin Login, and Dashboard are represented.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Ready for review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Responsive behavior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Desktop and mobile reference screens preserve usable navigation and readable content.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Ready for review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Design consistency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Color, typography, cards, buttons, forms, and success/error states follow the UI kit.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Ready for review</w:t>
            </w:r>
          </w:p>
        </w:tc>
      </w:tr>
    </w:tbl>
    <w:p/>
    <w:p>
      <w:pPr>
        <w:pStyle w:val="Heading1"/>
      </w:pPr>
      <w:r>
        <w:t>Accessibility and Heuristic Checks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750"/>
        <w:gridCol w:w="2560"/>
      </w:tblGrid>
      <w:tr>
        <w:tc>
          <w:tcPr>
            <w:tcW w:type="dxa" w:w="20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7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256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WCAG 2.2 AA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Color contrast, keyboard access, form labels, focus states, and text alternatives are reviewed.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No color-only meaning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ISO 9241 usability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Workflows support effectiveness, efficiency, and satisfaction for donor and staff tasks.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Task-first review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Nielsen heuristics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System status, error recovery, consistency, recognition, and user control are visible.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Especially payment states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Content clarity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Calls to action and status messages use plain, direct language.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Avoid ambiguous outcomes</w:t>
            </w:r>
          </w:p>
        </w:tc>
      </w:tr>
    </w:tbl>
    <w:p/>
    <w:p>
      <w:pPr>
        <w:pStyle w:val="Heading1"/>
      </w:pPr>
      <w:r>
        <w:t>Backend Foundation Checks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750"/>
        <w:gridCol w:w="2560"/>
      </w:tblGrid>
      <w:tr>
        <w:tc>
          <w:tcPr>
            <w:tcW w:type="dxa" w:w="20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47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56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Donation create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Donation record is created and Paystack checkout URL is returned.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Integration test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Paystack success webhook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Signature is verified, donation is marked completed, receipt email is requested.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Integration test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Bad Paystack signature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Webhook is rejected and no donation state mutation is trusted.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Integration test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Volunteer application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Application and availability are stored; confirmation email is requested.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Integration test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Gmail SMTP preview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Preview mode logs and skips outbound network sending.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Unit test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Missing SMTP credentials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Email service skips safely instead of raising during local setup.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Unit test</w:t>
            </w:r>
          </w:p>
        </w:tc>
      </w:tr>
    </w:tbl>
    <w:p/>
    <w:p>
      <w:pPr>
        <w:pStyle w:val="Heading1"/>
      </w:pPr>
      <w:r>
        <w:t>Sign-off Summary</w:t>
      </w:r>
    </w:p>
    <w:p>
      <w:pPr>
        <w:pStyle w:val="ListBullet"/>
        <w:spacing w:after="80"/>
      </w:pPr>
      <w:r>
        <w:t>Phase 1 delivers the promised design approval and technical foundation artifacts.</w:t>
      </w:r>
    </w:p>
    <w:p>
      <w:pPr>
        <w:pStyle w:val="ListBullet"/>
        <w:spacing w:after="80"/>
      </w:pPr>
      <w:r>
        <w:t>Remaining production launch items should be tracked in Phase 2, including final domain email identity, real payment keys, production database, and stakeholder content approval.</w:t>
      </w:r>
    </w:p>
    <w:p>
      <w:pPr>
        <w:pStyle w:val="ListBullet"/>
        <w:spacing w:after="80"/>
      </w:pPr>
      <w:r>
        <w:t>This checklist should be revisited after every major change to payment, email, admin, or public form behavior.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6"/>
      </w:rPr>
      <w:t>Novessa Foundation Phase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C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2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6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B98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