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0B981"/>
          <w:sz w:val="18"/>
        </w:rPr>
        <w:t>PHASE 1 DELIVERABLE</w:t>
      </w:r>
    </w:p>
    <w:p>
      <w:pPr>
        <w:spacing w:after="80"/>
      </w:pPr>
      <w:r>
        <w:rPr>
          <w:rFonts w:ascii="Calibri" w:hAnsi="Calibri"/>
          <w:b/>
          <w:color w:val="00263F"/>
          <w:sz w:val="48"/>
        </w:rPr>
        <w:t>Sitemap and User Flow Documentation</w:t>
      </w:r>
    </w:p>
    <w:p>
      <w:pPr>
        <w:spacing w:after="280"/>
      </w:pPr>
      <w:r>
        <w:rPr>
          <w:rFonts w:ascii="Calibri" w:hAnsi="Calibri"/>
          <w:color w:val="5B6472"/>
          <w:sz w:val="22"/>
        </w:rPr>
        <w:t>Formal sign-off artifact for public navigation, donor conversion, volunteer onboarding, and operational handoff flows.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Phase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Status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Basis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Novessa Foundation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Phase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Handoff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Stitch designs + contract</w:t>
            </w:r>
          </w:p>
        </w:tc>
      </w:tr>
    </w:tbl>
    <w:p/>
    <w:p>
      <w:pPr>
        <w:pStyle w:val="Heading1"/>
      </w:pPr>
      <w:r>
        <w:t>Purpose</w:t>
      </w:r>
    </w:p>
    <w:p>
      <w:r>
        <w:t>This document validates the website information architecture and core journeys promised in Phase 1. It is based on the approved Stitch visual references and the implemented Novessa web/API surface.</w:t>
      </w:r>
    </w:p>
    <w:p>
      <w:pPr>
        <w:pStyle w:val="Heading1"/>
      </w:pPr>
      <w:r>
        <w:t>Public Sitemap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site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750"/>
        <w:gridCol w:w="2560"/>
      </w:tblGrid>
      <w:tr>
        <w:tc>
          <w:tcPr>
            <w:tcW w:type="dxa" w:w="20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7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user intent</w:t>
            </w:r>
          </w:p>
        </w:tc>
        <w:tc>
          <w:tcPr>
            <w:tcW w:type="dxa" w:w="256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Success signal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Home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Understand mission and choose a next action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Visitor reaches programs, impact, donate, or volunteer paths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Programs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Browse initiatives and read program detail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Visitor can connect mission areas to concrete work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Donate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Contribute securely through Paystack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Donation checkout starts and completes with receipt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Volunteer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Offer time and skills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Application is stored with availability and confirmation email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Impact/Reports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Evaluate transparency and outcomes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Visitor can review stories, stats, and reports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Contact/Partners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Start a relationship with Novessa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Inquiry is stored for staff follow-up</w:t>
            </w:r>
          </w:p>
        </w:tc>
      </w:tr>
    </w:tbl>
    <w:p/>
    <w:p>
      <w:pPr>
        <w:pStyle w:val="Heading1"/>
      </w:pPr>
      <w:r>
        <w:t>Core User 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03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o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63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63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63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Sign-off Checklist</w:t>
      </w:r>
    </w:p>
    <w:p>
      <w:pPr>
        <w:pStyle w:val="ListBullet"/>
        <w:spacing w:after="80"/>
      </w:pPr>
      <w:r>
        <w:t>Navigation covers every Phase 1 public screen promised in the contract.</w:t>
      </w:r>
    </w:p>
    <w:p>
      <w:pPr>
        <w:pStyle w:val="ListBullet"/>
        <w:spacing w:after="80"/>
      </w:pPr>
      <w:r>
        <w:t>Donation, volunteer, partner, contact, and newsletter journeys each end in a clear system outcome.</w:t>
      </w:r>
    </w:p>
    <w:p>
      <w:pPr>
        <w:pStyle w:val="ListBullet"/>
        <w:spacing w:after="80"/>
      </w:pPr>
      <w:r>
        <w:t>Admin operations can review content, donations, and submitted community records.</w:t>
      </w:r>
    </w:p>
    <w:p>
      <w:pPr>
        <w:pStyle w:val="ListBullet"/>
        <w:spacing w:after="80"/>
      </w:pPr>
      <w:r>
        <w:t>Mobile and desktop references are represented in the handoff package.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6"/>
      </w:rPr>
      <w:t>Novessa Foundation Phase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C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2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6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B98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