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0B981"/>
          <w:sz w:val="18"/>
        </w:rPr>
        <w:t>PHASE 1 DELIVERABLE</w:t>
      </w:r>
    </w:p>
    <w:p>
      <w:pPr>
        <w:spacing w:after="80"/>
      </w:pPr>
      <w:r>
        <w:rPr>
          <w:rFonts w:ascii="Calibri" w:hAnsi="Calibri"/>
          <w:b/>
          <w:color w:val="00263F"/>
          <w:sz w:val="48"/>
        </w:rPr>
        <w:t>Technical Foundation and Architecture Report</w:t>
      </w:r>
    </w:p>
    <w:p>
      <w:pPr>
        <w:spacing w:after="280"/>
      </w:pPr>
      <w:r>
        <w:rPr>
          <w:rFonts w:ascii="Calibri" w:hAnsi="Calibri"/>
          <w:color w:val="5B6472"/>
          <w:sz w:val="22"/>
        </w:rPr>
        <w:t>Backend architecture, data model, payment, email, deployment, and security baseline for the Phase 1 foundation.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263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34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263F"/>
                <w:sz w:val="17"/>
              </w:rPr>
              <w:t>Phase</w:t>
            </w:r>
          </w:p>
        </w:tc>
        <w:tc>
          <w:tcPr>
            <w:tcW w:type="dxa" w:w="234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263F"/>
                <w:sz w:val="17"/>
              </w:rPr>
              <w:t>Status</w:t>
            </w:r>
          </w:p>
        </w:tc>
        <w:tc>
          <w:tcPr>
            <w:tcW w:type="dxa" w:w="234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0263F"/>
                <w:sz w:val="17"/>
              </w:rPr>
              <w:t>Basis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8"/>
              </w:rPr>
              <w:t>Novessa Foundation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8"/>
              </w:rPr>
              <w:t>Phase 1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8"/>
              </w:rPr>
              <w:t>Handoff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8"/>
              </w:rPr>
              <w:t>Stitch designs + contract</w:t>
            </w:r>
          </w:p>
        </w:tc>
      </w:tr>
    </w:tbl>
    <w:p/>
    <w:p>
      <w:pPr>
        <w:pStyle w:val="Heading1"/>
      </w:pPr>
      <w:r>
        <w:t>Architecture Overview</w:t>
      </w:r>
    </w:p>
    <w:p>
      <w:r>
        <w:t>Novessa uses a Next.js public web app and a Django API/admin backend. The architecture separates public engagement from operational records while keeping content, donations, forms, audit history, and outbound notifications in clear service boundaries.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232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Data Model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975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050"/>
        <w:gridCol w:w="4750"/>
        <w:gridCol w:w="2560"/>
      </w:tblGrid>
      <w:tr>
        <w:tc>
          <w:tcPr>
            <w:tcW w:type="dxa" w:w="2050"/>
            <w:shd w:fill="00263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4750"/>
            <w:shd w:fill="00263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Records</w:t>
            </w:r>
          </w:p>
        </w:tc>
        <w:tc>
          <w:tcPr>
            <w:tcW w:type="dxa" w:w="2560"/>
            <w:shd w:fill="00263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Operational purpose</w:t>
            </w:r>
          </w:p>
        </w:tc>
      </w:tr>
      <w:tr>
        <w:tc>
          <w:tcPr>
            <w:tcW w:type="dxa" w:w="205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Content</w:t>
            </w:r>
          </w:p>
        </w:tc>
        <w:tc>
          <w:tcPr>
            <w:tcW w:type="dxa" w:w="475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Programs, stories, reports</w:t>
            </w:r>
          </w:p>
        </w:tc>
        <w:tc>
          <w:tcPr>
            <w:tcW w:type="dxa" w:w="256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Power public pages and transparency content</w:t>
            </w:r>
          </w:p>
        </w:tc>
      </w:tr>
      <w:tr>
        <w:tc>
          <w:tcPr>
            <w:tcW w:type="dxa" w:w="205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Donations</w:t>
            </w:r>
          </w:p>
        </w:tc>
        <w:tc>
          <w:tcPr>
            <w:tcW w:type="dxa" w:w="475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Donation, payment webhook event</w:t>
            </w:r>
          </w:p>
        </w:tc>
        <w:tc>
          <w:tcPr>
            <w:tcW w:type="dxa" w:w="256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Track donor intent, payment status, and provider references</w:t>
            </w:r>
          </w:p>
        </w:tc>
      </w:tr>
      <w:tr>
        <w:tc>
          <w:tcPr>
            <w:tcW w:type="dxa" w:w="205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Forms</w:t>
            </w:r>
          </w:p>
        </w:tc>
        <w:tc>
          <w:tcPr>
            <w:tcW w:type="dxa" w:w="475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Volunteer, partner, contact, newsletter</w:t>
            </w:r>
          </w:p>
        </w:tc>
        <w:tc>
          <w:tcPr>
            <w:tcW w:type="dxa" w:w="256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Capture community engagement and staff follow-up queues</w:t>
            </w:r>
          </w:p>
        </w:tc>
      </w:tr>
      <w:tr>
        <w:tc>
          <w:tcPr>
            <w:tcW w:type="dxa" w:w="205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Mailer</w:t>
            </w:r>
          </w:p>
        </w:tc>
        <w:tc>
          <w:tcPr>
            <w:tcW w:type="dxa" w:w="475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Email service plus retained Mailgun events</w:t>
            </w:r>
          </w:p>
        </w:tc>
        <w:tc>
          <w:tcPr>
            <w:tcW w:type="dxa" w:w="256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Send Gmail SMTP notifications while preserving webhook history if needed</w:t>
            </w:r>
          </w:p>
        </w:tc>
      </w:tr>
      <w:tr>
        <w:tc>
          <w:tcPr>
            <w:tcW w:type="dxa" w:w="205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Audit</w:t>
            </w:r>
          </w:p>
        </w:tc>
        <w:tc>
          <w:tcPr>
            <w:tcW w:type="dxa" w:w="475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AuditLog</w:t>
            </w:r>
          </w:p>
        </w:tc>
        <w:tc>
          <w:tcPr>
            <w:tcW w:type="dxa" w:w="2560"/>
            <w:shd w:fill="F8F9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0B1C30"/>
                <w:sz w:val="17"/>
              </w:rPr>
              <w:t>Support operational accountability for admin activity</w:t>
            </w:r>
          </w:p>
        </w:tc>
      </w:tr>
    </w:tbl>
    <w:p/>
    <w:p>
      <w:pPr>
        <w:pStyle w:val="Heading1"/>
      </w:pPr>
      <w:r>
        <w:t>Payment and Email Flows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03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stack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263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mail_email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Deployment and Security Baseline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263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security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t>Environment-specific secrets remain outside source control.</w:t>
      </w:r>
    </w:p>
    <w:p>
      <w:pPr>
        <w:pStyle w:val="ListBullet"/>
        <w:spacing w:after="80"/>
      </w:pPr>
      <w:r>
        <w:t>Django production settings enforce SSL redirect, secure cookies, HSTS, and proxy SSL headers.</w:t>
      </w:r>
    </w:p>
    <w:p>
      <w:pPr>
        <w:pStyle w:val="ListBullet"/>
        <w:spacing w:after="80"/>
      </w:pPr>
      <w:r>
        <w:t>Paystack webhook validation uses HMAC signatures before donation state changes.</w:t>
      </w:r>
    </w:p>
    <w:p>
      <w:pPr>
        <w:pStyle w:val="ListBullet"/>
        <w:spacing w:after="80"/>
      </w:pPr>
      <w:r>
        <w:t>Gmail SMTP credentials are read from environment variables through Django settings.</w:t>
      </w:r>
    </w:p>
    <w:p>
      <w:pPr>
        <w:pStyle w:val="ListBullet"/>
        <w:spacing w:after="80"/>
      </w:pPr>
      <w:r>
        <w:t>Whitenoise serves collected static assets for the Django admin/API deployment.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472"/>
        <w:sz w:val="16"/>
      </w:rPr>
      <w:t>Novessa Foundation Phase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B1C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26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26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0B98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