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6D8A" w14:textId="77777777" w:rsidR="002F6E7D" w:rsidRPr="002F6E7D" w:rsidRDefault="002F6E7D" w:rsidP="002F6E7D">
      <w:pPr>
        <w:numPr>
          <w:ilvl w:val="0"/>
          <w:numId w:val="1"/>
        </w:numPr>
        <w:spacing w:after="0" w:line="0" w:lineRule="auto"/>
        <w:ind w:left="1020"/>
        <w:rPr>
          <w:rFonts w:ascii="Lato" w:eastAsia="Times New Roman" w:hAnsi="Lato" w:cs="Arial"/>
          <w:color w:val="000000"/>
          <w:lang w:val="ru-UA" w:eastAsia="ru-UA"/>
        </w:rPr>
      </w:pPr>
    </w:p>
    <w:p w14:paraId="6B3D39C5" w14:textId="77777777" w:rsidR="002F6E7D" w:rsidRPr="002F6E7D" w:rsidRDefault="002F6E7D" w:rsidP="002F6E7D">
      <w:pPr>
        <w:numPr>
          <w:ilvl w:val="1"/>
          <w:numId w:val="1"/>
        </w:numPr>
        <w:spacing w:after="0" w:line="240" w:lineRule="auto"/>
        <w:ind w:left="993" w:firstLine="0"/>
        <w:rPr>
          <w:rFonts w:ascii="Lato" w:eastAsia="Times New Roman" w:hAnsi="Lato" w:cs="Arial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Класифікація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методів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навчання</w:t>
      </w:r>
      <w:proofErr w:type="spellEnd"/>
    </w:p>
    <w:p w14:paraId="26DE3779" w14:textId="77777777" w:rsidR="002F6E7D" w:rsidRPr="002F6E7D" w:rsidRDefault="002F6E7D" w:rsidP="002F6E7D">
      <w:pPr>
        <w:numPr>
          <w:ilvl w:val="1"/>
          <w:numId w:val="1"/>
        </w:numPr>
        <w:spacing w:after="0" w:line="240" w:lineRule="auto"/>
        <w:ind w:left="993" w:firstLine="0"/>
        <w:rPr>
          <w:rFonts w:ascii="Lato" w:eastAsia="Times New Roman" w:hAnsi="Lato" w:cs="Arial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Інтерактивні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навчання</w:t>
      </w:r>
      <w:proofErr w:type="spellEnd"/>
    </w:p>
    <w:p w14:paraId="3602EF01" w14:textId="77777777" w:rsidR="002F6E7D" w:rsidRPr="002F6E7D" w:rsidRDefault="002F6E7D" w:rsidP="002F6E7D">
      <w:pPr>
        <w:numPr>
          <w:ilvl w:val="1"/>
          <w:numId w:val="1"/>
        </w:numPr>
        <w:spacing w:after="0" w:line="240" w:lineRule="auto"/>
        <w:ind w:left="993" w:firstLine="0"/>
        <w:rPr>
          <w:rFonts w:ascii="Lato" w:eastAsia="Times New Roman" w:hAnsi="Lato" w:cs="Arial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Активні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навчання</w:t>
      </w:r>
      <w:proofErr w:type="spellEnd"/>
    </w:p>
    <w:p w14:paraId="2997CF3C" w14:textId="77777777" w:rsidR="002F6E7D" w:rsidRPr="002F6E7D" w:rsidRDefault="002F6E7D" w:rsidP="002F6E7D">
      <w:pPr>
        <w:numPr>
          <w:ilvl w:val="1"/>
          <w:numId w:val="1"/>
        </w:numPr>
        <w:spacing w:after="0" w:line="240" w:lineRule="auto"/>
        <w:ind w:left="993" w:firstLine="0"/>
        <w:rPr>
          <w:rFonts w:ascii="Lato" w:eastAsia="Times New Roman" w:hAnsi="Lato" w:cs="Arial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Інноваційні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навчання</w:t>
      </w:r>
      <w:proofErr w:type="spellEnd"/>
    </w:p>
    <w:p w14:paraId="3FF5EA6B" w14:textId="77777777" w:rsidR="002F6E7D" w:rsidRPr="002F6E7D" w:rsidRDefault="002F6E7D" w:rsidP="002F6E7D">
      <w:pPr>
        <w:numPr>
          <w:ilvl w:val="1"/>
          <w:numId w:val="1"/>
        </w:numPr>
        <w:spacing w:after="0" w:line="240" w:lineRule="auto"/>
        <w:ind w:left="993" w:firstLine="0"/>
        <w:rPr>
          <w:rFonts w:ascii="Lato" w:eastAsia="Times New Roman" w:hAnsi="Lato" w:cs="Arial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Наочний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метод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навчання</w:t>
      </w:r>
      <w:proofErr w:type="spellEnd"/>
    </w:p>
    <w:p w14:paraId="582ED87F" w14:textId="77777777" w:rsidR="002F6E7D" w:rsidRPr="002F6E7D" w:rsidRDefault="002F6E7D" w:rsidP="002F6E7D">
      <w:pPr>
        <w:numPr>
          <w:ilvl w:val="1"/>
          <w:numId w:val="1"/>
        </w:numPr>
        <w:spacing w:after="0" w:line="240" w:lineRule="auto"/>
        <w:ind w:left="993" w:firstLine="0"/>
        <w:rPr>
          <w:rFonts w:ascii="Lato" w:eastAsia="Times New Roman" w:hAnsi="Lato" w:cs="Arial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навчання</w:t>
      </w:r>
      <w:proofErr w:type="spellEnd"/>
    </w:p>
    <w:p w14:paraId="183460DF" w14:textId="77777777" w:rsidR="002F6E7D" w:rsidRPr="002F6E7D" w:rsidRDefault="002F6E7D" w:rsidP="002F6E7D">
      <w:pPr>
        <w:numPr>
          <w:ilvl w:val="1"/>
          <w:numId w:val="1"/>
        </w:numPr>
        <w:spacing w:after="0" w:line="240" w:lineRule="auto"/>
        <w:ind w:left="993" w:firstLine="0"/>
        <w:rPr>
          <w:rFonts w:ascii="Lato" w:eastAsia="Times New Roman" w:hAnsi="Lato" w:cs="Arial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дистанційного</w:t>
      </w:r>
      <w:proofErr w:type="spellEnd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b/>
          <w:bCs/>
          <w:sz w:val="27"/>
          <w:szCs w:val="27"/>
          <w:u w:val="single"/>
          <w:lang w:val="ru-UA" w:eastAsia="ru-UA"/>
        </w:rPr>
        <w:t>навчання</w:t>
      </w:r>
      <w:proofErr w:type="spellEnd"/>
    </w:p>
    <w:p w14:paraId="04951330" w14:textId="77777777" w:rsidR="002F6E7D" w:rsidRDefault="002F6E7D" w:rsidP="002F6E7D">
      <w:pPr>
        <w:spacing w:before="280" w:after="280" w:line="240" w:lineRule="auto"/>
        <w:ind w:left="300"/>
        <w:jc w:val="both"/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</w:pPr>
      <w:r w:rsidRPr="002F6E7D">
        <w:rPr>
          <w:rFonts w:ascii="Arial" w:eastAsia="Times New Roman" w:hAnsi="Arial" w:cs="Arial"/>
          <w:b/>
          <w:bCs/>
          <w:i/>
          <w:iCs/>
          <w:color w:val="353535"/>
          <w:sz w:val="27"/>
          <w:szCs w:val="27"/>
          <w:lang w:val="ru-UA" w:eastAsia="ru-UA"/>
        </w:rPr>
        <w:t xml:space="preserve">Метод </w:t>
      </w:r>
      <w:proofErr w:type="spellStart"/>
      <w:r w:rsidRPr="002F6E7D">
        <w:rPr>
          <w:rFonts w:ascii="Arial" w:eastAsia="Times New Roman" w:hAnsi="Arial" w:cs="Arial"/>
          <w:b/>
          <w:bCs/>
          <w:i/>
          <w:iCs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 –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особлива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форма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організації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подачі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матеріалу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Метод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варто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відрізняти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прийому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Прийом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–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лише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частина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методу,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окремий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вид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учнями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Сукупність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прийомів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технік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певного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типу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визначається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як методика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Про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найбільш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ефективні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прогресивні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читайте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далі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2C751198" w14:textId="4A60F49D" w:rsidR="002F6E7D" w:rsidRPr="002F6E7D" w:rsidRDefault="002F6E7D" w:rsidP="002F6E7D">
      <w:pPr>
        <w:spacing w:before="280" w:after="280" w:line="240" w:lineRule="auto"/>
        <w:ind w:left="300"/>
        <w:rPr>
          <w:rFonts w:ascii="Lato" w:eastAsia="Times New Roman" w:hAnsi="Lato" w:cs="Times New Roman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br/>
      </w: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t>КЛАСИФІКАЦІЯ МЕТОДІВ НАВЧАННЯ</w:t>
      </w: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br/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Залежно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джерела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подачі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сприйняття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інформації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виділяють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: </w:t>
      </w:r>
    </w:p>
    <w:p w14:paraId="2230D21B" w14:textId="77777777" w:rsidR="002F6E7D" w:rsidRPr="002F6E7D" w:rsidRDefault="002F6E7D" w:rsidP="002F6E7D">
      <w:pPr>
        <w:numPr>
          <w:ilvl w:val="0"/>
          <w:numId w:val="2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словесні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45F92023" w14:textId="77777777" w:rsidR="002F6E7D" w:rsidRPr="002F6E7D" w:rsidRDefault="002F6E7D" w:rsidP="002F6E7D">
      <w:pPr>
        <w:numPr>
          <w:ilvl w:val="0"/>
          <w:numId w:val="2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наочні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0152BFC0" w14:textId="77777777" w:rsidR="002F6E7D" w:rsidRPr="002F6E7D" w:rsidRDefault="002F6E7D" w:rsidP="002F6E7D">
      <w:pPr>
        <w:numPr>
          <w:ilvl w:val="0"/>
          <w:numId w:val="2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5E92E4D7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За характером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пізнавальної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діяльності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розрізняють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провідні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: </w:t>
      </w:r>
    </w:p>
    <w:p w14:paraId="4461FFDF" w14:textId="77777777" w:rsidR="002F6E7D" w:rsidRPr="002F6E7D" w:rsidRDefault="002F6E7D" w:rsidP="002F6E7D">
      <w:pPr>
        <w:numPr>
          <w:ilvl w:val="0"/>
          <w:numId w:val="3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пояснювально-ілюстративний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7EA1E54D" w14:textId="77777777" w:rsidR="002F6E7D" w:rsidRPr="002F6E7D" w:rsidRDefault="002F6E7D" w:rsidP="002F6E7D">
      <w:pPr>
        <w:numPr>
          <w:ilvl w:val="0"/>
          <w:numId w:val="3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репродуктивний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23E6AC44" w14:textId="77777777" w:rsidR="002F6E7D" w:rsidRPr="002F6E7D" w:rsidRDefault="002F6E7D" w:rsidP="002F6E7D">
      <w:pPr>
        <w:numPr>
          <w:ilvl w:val="0"/>
          <w:numId w:val="3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частково-пошуковий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636B78C1" w14:textId="77777777" w:rsidR="002F6E7D" w:rsidRPr="002F6E7D" w:rsidRDefault="002F6E7D" w:rsidP="002F6E7D">
      <w:pPr>
        <w:numPr>
          <w:ilvl w:val="0"/>
          <w:numId w:val="3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дослідницький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2D046BF7" w14:textId="77777777" w:rsidR="002F6E7D" w:rsidRPr="002F6E7D" w:rsidRDefault="002F6E7D" w:rsidP="002F6E7D">
      <w:pPr>
        <w:numPr>
          <w:ilvl w:val="0"/>
          <w:numId w:val="3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проблемного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1DAEB322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За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системним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підходом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виділяють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прийоми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:</w:t>
      </w:r>
    </w:p>
    <w:p w14:paraId="521ACF01" w14:textId="77777777" w:rsidR="002F6E7D" w:rsidRPr="002F6E7D" w:rsidRDefault="002F6E7D" w:rsidP="002F6E7D">
      <w:pPr>
        <w:numPr>
          <w:ilvl w:val="0"/>
          <w:numId w:val="4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організації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проведення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69844748" w14:textId="77777777" w:rsidR="002F6E7D" w:rsidRPr="002F6E7D" w:rsidRDefault="002F6E7D" w:rsidP="002F6E7D">
      <w:pPr>
        <w:numPr>
          <w:ilvl w:val="0"/>
          <w:numId w:val="4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стимулювання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мотивації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12AF80E8" w14:textId="77777777" w:rsidR="002F6E7D" w:rsidRPr="002F6E7D" w:rsidRDefault="002F6E7D" w:rsidP="002F6E7D">
      <w:pPr>
        <w:numPr>
          <w:ilvl w:val="0"/>
          <w:numId w:val="4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контролю і самоконтролю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71F0FF66" w14:textId="77777777" w:rsidR="002F6E7D" w:rsidRPr="002F6E7D" w:rsidRDefault="002F6E7D" w:rsidP="002F6E7D">
      <w:pPr>
        <w:numPr>
          <w:ilvl w:val="0"/>
          <w:numId w:val="4"/>
        </w:numPr>
        <w:spacing w:before="240" w:after="240" w:line="240" w:lineRule="auto"/>
        <w:ind w:left="1020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інтегровані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6EBF9712" w14:textId="77777777" w:rsidR="002F6E7D" w:rsidRPr="002F6E7D" w:rsidRDefault="002F6E7D" w:rsidP="002F6E7D">
      <w:pPr>
        <w:spacing w:before="300" w:after="300" w:line="240" w:lineRule="auto"/>
        <w:ind w:right="300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lastRenderedPageBreak/>
        <w:t>ІНТЕРАКТИВНІ МЕТОДИ НАВЧАННЯ</w:t>
      </w:r>
    </w:p>
    <w:p w14:paraId="471371B8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педагогіці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що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спрямовані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словесну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взаємодію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педагога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також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між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собою.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основі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цього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лежить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принцип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зворотного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зв’язку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коли студент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отримує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зауваження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поради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однокурсників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стосовно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його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уроці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Коли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взаємодіють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між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собою,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виступає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координатором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пильнує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щоб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учасники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виходили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 рамки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етичних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норм. </w:t>
      </w:r>
    </w:p>
    <w:p w14:paraId="4FFE7423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є одними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найбільш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ефективних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оскільки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активізують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мисленнєві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комунікативні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здібності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Отримавши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рекомендацію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учителя,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відразу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ж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виправити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помилку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закріпити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пам’яті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правильне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Вони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застосовуються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вивченні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будь-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предмета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дисципліни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6FBA49D0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Проте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починати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їх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використовувати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потрібно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етапі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закріплення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знань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тобто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другого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третього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після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початку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вивчення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теми. Перед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цим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повинні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отримати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хорошу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теоретичну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базу,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їх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цікавлять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самостійну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домашню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роботу. </w:t>
      </w:r>
    </w:p>
    <w:p w14:paraId="58AEAE5E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Важливими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складовими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інтерактивного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є:</w:t>
      </w:r>
    </w:p>
    <w:p w14:paraId="40642517" w14:textId="77777777" w:rsidR="002F6E7D" w:rsidRPr="002F6E7D" w:rsidRDefault="002F6E7D" w:rsidP="002F6E7D">
      <w:pPr>
        <w:numPr>
          <w:ilvl w:val="0"/>
          <w:numId w:val="5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опитування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думок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формат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полілогу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групової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бесіди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ставить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стосуються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розуміння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засвоєння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матеріалу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також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особистого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ставлення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 того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факту,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персонажа.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Водночас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ставити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неоднозначні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нечіткі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закриті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що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потребують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«так»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«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». </w:t>
      </w:r>
    </w:p>
    <w:p w14:paraId="5CEFAE22" w14:textId="77777777" w:rsidR="002F6E7D" w:rsidRPr="002F6E7D" w:rsidRDefault="002F6E7D" w:rsidP="002F6E7D">
      <w:pPr>
        <w:numPr>
          <w:ilvl w:val="0"/>
          <w:numId w:val="5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Аналіз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історій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ситуацій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розповідає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вихованцям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реальну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вигадану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історію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що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є прикладом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певного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поняття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теорії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висловлюють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свої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думки,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оцінюють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поведінку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персонажів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наслідки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Далі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студентам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пропонують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згадати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схожі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історії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особистого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досвіду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Розповідь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також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бути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незавершеною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він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пропонує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аудиторії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додумати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фінальний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розвиток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71F832D4" w14:textId="77777777" w:rsidR="002F6E7D" w:rsidRPr="002F6E7D" w:rsidRDefault="002F6E7D" w:rsidP="002F6E7D">
      <w:pPr>
        <w:numPr>
          <w:ilvl w:val="0"/>
          <w:numId w:val="5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Дискусії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дебати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полеміки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чітко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організовані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всебічного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розгляду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проблемного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Як правило,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обирають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пропонента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опонента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Перший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пропонує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свою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позицію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як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другий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намагається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спростовувати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думку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пропонента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Аудиторія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ділиться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підтримують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двох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головних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учасників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хоча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кожен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слухач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висловлювати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свою точку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зору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Головні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учасники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дискусії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повинні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чітко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аргументувати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свої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думки,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наводити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реальні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приклади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докази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Переможцем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той, кому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вдалося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переконати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більшу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частину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аудиторії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докази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були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найбільш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ґрунтовними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59C2DF1B" w14:textId="77777777" w:rsidR="002F6E7D" w:rsidRPr="002F6E7D" w:rsidRDefault="002F6E7D" w:rsidP="002F6E7D">
      <w:pPr>
        <w:numPr>
          <w:ilvl w:val="0"/>
          <w:numId w:val="5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Мозковий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штурм.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тип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опитування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передбачає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швидкі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короткі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без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роздумів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Учасники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можуть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пропонувати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свої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ідеї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приводу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вирішення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проблеми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першому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етапі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всі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lastRenderedPageBreak/>
        <w:t>записуються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приймаються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викладачем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На другому –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відбувається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їхній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аналіз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ранжування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23F604D3" w14:textId="77777777" w:rsidR="002F6E7D" w:rsidRPr="002F6E7D" w:rsidRDefault="002F6E7D" w:rsidP="002F6E7D">
      <w:pPr>
        <w:numPr>
          <w:ilvl w:val="0"/>
          <w:numId w:val="5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Відпрацювання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навичок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Робота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групах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два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тісно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взаємопов’язані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котрі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допомагають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студентам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практикувати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одночасно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необхідні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профільні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навички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вміння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працювати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команді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спосіб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відпрацьовувати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комунікативні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навички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іноземної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мови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Зазвичай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складається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2-6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осіб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Кожній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конкретне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час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його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вони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можуть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допомагати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підказувати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одне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одному.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Потім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повинні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продемонструвати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результати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своєї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аудиторії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08A44316" w14:textId="7E183C38" w:rsidR="002F6E7D" w:rsidRPr="002F6E7D" w:rsidRDefault="002F6E7D" w:rsidP="002F6E7D">
      <w:pPr>
        <w:numPr>
          <w:ilvl w:val="0"/>
          <w:numId w:val="5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Ігрове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перевтілення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Підходить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гуманітарних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(особливо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майбутніх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психологів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)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творчих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спеціальностей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цьому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вихованці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розігрують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сцени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ситуації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ролі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літературних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історичних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персонажів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продуктивний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використання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моделей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поведінки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ставлення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мислення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допомагає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учасникам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краще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зрозуміти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відчути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собі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причини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наслідки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певних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20AE5AF7" w14:textId="77777777" w:rsidR="002F6E7D" w:rsidRPr="002F6E7D" w:rsidRDefault="002F6E7D" w:rsidP="002F6E7D">
      <w:pPr>
        <w:spacing w:before="300" w:after="300" w:line="240" w:lineRule="auto"/>
        <w:ind w:left="300" w:right="300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t>АКТИВНІ МЕТОДИ НАВЧАННЯ</w:t>
      </w:r>
    </w:p>
    <w:p w14:paraId="5BE48381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відміну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інтерактивних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активні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означають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безпосередню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участь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вправ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іноді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без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взаємодії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між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собою.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Водночас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інтерактивне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спілкування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викладачем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зберігається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Як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показує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відома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«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Піраміда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»,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вправи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гарантують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75%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знань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– аж 90%.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найбільш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дієві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але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застосовувати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їх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ранніх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етапах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неефективно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Студент повинен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отримати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багаж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знань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елементарних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навичок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вимагають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високої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організованості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самостійності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6895DA88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прийоми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–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найрізноманітніші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:</w:t>
      </w:r>
    </w:p>
    <w:p w14:paraId="57ED781C" w14:textId="77777777" w:rsidR="002F6E7D" w:rsidRPr="002F6E7D" w:rsidRDefault="002F6E7D" w:rsidP="002F6E7D">
      <w:pPr>
        <w:numPr>
          <w:ilvl w:val="0"/>
          <w:numId w:val="6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Моделювання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професійної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діяльності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бути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будь-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аудиторних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умовах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виробнича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практика.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можуть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відправляти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проходження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практики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підприємства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компанії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фірми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де вони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будуть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ролі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працівників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молодших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помічників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дозволяє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адекватно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оцінити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рівень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своєї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підготовки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умови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особливості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майбутньої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4C25A8CE" w14:textId="77777777" w:rsidR="002F6E7D" w:rsidRPr="002F6E7D" w:rsidRDefault="002F6E7D" w:rsidP="002F6E7D">
      <w:pPr>
        <w:numPr>
          <w:ilvl w:val="0"/>
          <w:numId w:val="6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Студент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бере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себе роль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пояснює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матеріал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навіть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оцінювати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їхній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рівень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знань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Часто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старшокурсники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проводять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тих,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хто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вчиться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молодших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курсах. Але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можуть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проводити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своїх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колег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Студент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організувати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урок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вигляді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тренінгу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майстер-класу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форма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вимагає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нього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завчасної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підготовки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ретельного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повторення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матеріалу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6098D4A2" w14:textId="6F3BEC82" w:rsidR="002F6E7D" w:rsidRPr="002F6E7D" w:rsidRDefault="002F6E7D" w:rsidP="002F6E7D">
      <w:pPr>
        <w:numPr>
          <w:ilvl w:val="0"/>
          <w:numId w:val="6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lastRenderedPageBreak/>
        <w:t xml:space="preserve">Метод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активних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ігор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скласти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ігри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своїх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однокурсників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Контролюють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самі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А педагог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тільки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спостерігати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інколи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підказувати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 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ігри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можуть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кілька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спрямувань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діляться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на: проблемно-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орієнтовані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дослідницькі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ділові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проектувальні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622241C3" w14:textId="77777777" w:rsidR="002F6E7D" w:rsidRPr="002F6E7D" w:rsidRDefault="002F6E7D" w:rsidP="002F6E7D">
      <w:pPr>
        <w:spacing w:before="300" w:after="300" w:line="240" w:lineRule="auto"/>
        <w:ind w:left="300" w:right="300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t>ІННОВАЦІЙНІ МЕТОДИ НАВЧАННЯ</w:t>
      </w:r>
    </w:p>
    <w:p w14:paraId="5741B9CB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сучасні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охоплюють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як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цілком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так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оновлені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традиційні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авторські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методики.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цілому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поєднують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інтерактивні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комп’ютерні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технології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Також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 них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повністю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заперечується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авторитарний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підхід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встановлюється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ділова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співпраця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між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педагогом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учнями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0F81866D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До таких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належать:</w:t>
      </w:r>
    </w:p>
    <w:p w14:paraId="770EC9BA" w14:textId="77777777" w:rsidR="002F6E7D" w:rsidRPr="002F6E7D" w:rsidRDefault="002F6E7D" w:rsidP="002F6E7D">
      <w:pPr>
        <w:numPr>
          <w:ilvl w:val="0"/>
          <w:numId w:val="7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Компетентнісний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–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спрямоване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розвиток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навичок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умінь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якостей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знадобляться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підбирає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максимально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наближені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професійних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задач. </w:t>
      </w:r>
    </w:p>
    <w:p w14:paraId="0D5DE560" w14:textId="77777777" w:rsidR="002F6E7D" w:rsidRPr="002F6E7D" w:rsidRDefault="002F6E7D" w:rsidP="002F6E7D">
      <w:pPr>
        <w:numPr>
          <w:ilvl w:val="0"/>
          <w:numId w:val="7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Різноманітні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інтегровані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Включають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особливі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принципи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побудови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занять: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заняття-аукціон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заняття-лабіринт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заняття-подорож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заняття-ділова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зустріч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заняття-навчальна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конференція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заняття-експедиція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заняття-виставка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заняття-інсценування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заняття-експеримент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т.д.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Незвичайний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формат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сприяє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стовідсотковій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задіяності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уважності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663550A4" w14:textId="77777777" w:rsidR="002F6E7D" w:rsidRPr="002F6E7D" w:rsidRDefault="002F6E7D" w:rsidP="002F6E7D">
      <w:pPr>
        <w:numPr>
          <w:ilvl w:val="0"/>
          <w:numId w:val="7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Проєктно-дослідницький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Парі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комплекс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проблемне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визначений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час і,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можливо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додаткове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оснащення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Метод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спрямований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розвиток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пошукових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аналітичних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якостей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також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навичок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командної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26638955" w14:textId="77777777" w:rsidR="002F6E7D" w:rsidRPr="002F6E7D" w:rsidRDefault="002F6E7D" w:rsidP="002F6E7D">
      <w:pPr>
        <w:numPr>
          <w:ilvl w:val="0"/>
          <w:numId w:val="7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форми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інформацією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: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складання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ментальних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карт,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відеооглядів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сторітелінг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скрайбінг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портфоліо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3FB116EE" w14:textId="74D0EE3A" w:rsidR="002F6E7D" w:rsidRPr="002F6E7D" w:rsidRDefault="002F6E7D" w:rsidP="002F6E7D">
      <w:pPr>
        <w:numPr>
          <w:ilvl w:val="0"/>
          <w:numId w:val="7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основі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інформаційно-комунікаційних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технологій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включає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роботу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додатками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комп’ютерними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програмами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віртуальними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словниками,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інтерактивними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картами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ресурсами. </w:t>
      </w:r>
    </w:p>
    <w:p w14:paraId="07C983BA" w14:textId="77777777" w:rsidR="002F6E7D" w:rsidRPr="002F6E7D" w:rsidRDefault="002F6E7D" w:rsidP="002F6E7D">
      <w:pPr>
        <w:spacing w:before="300" w:after="300" w:line="240" w:lineRule="auto"/>
        <w:ind w:left="300" w:right="300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t>НАОЧНИЙ МЕТОД НАВЧАННЯ</w:t>
      </w:r>
    </w:p>
    <w:p w14:paraId="58CF3330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засновані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візуальному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сприйнятті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інформації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Тому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заняттях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активно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використовуються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різноманітні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ілюстративні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матеріали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Завдяки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зоровій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пам’яті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людина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здатна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запам’ятати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 80%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інформації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Вчитель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приносити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як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готові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ілюстрації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так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пропонувати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студентам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виготовити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їх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самим.</w:t>
      </w:r>
    </w:p>
    <w:p w14:paraId="1FEB9041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Існують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форми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подачі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візуальної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інформації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:</w:t>
      </w:r>
    </w:p>
    <w:p w14:paraId="2B09E2F5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lastRenderedPageBreak/>
        <w:t>Карти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схеми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таблиці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графіки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діаграми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3554A693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Зображення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картини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зарисовки,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фотографії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0B871984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Ментальні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інтерактивні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карти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58EA94B3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Відеоролики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3A577643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Стрічки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новин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4860BD02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Гіфки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423FD94E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Комікси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26806E8A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Креслення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281D5882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Віртуальні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моделі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фізичних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08D94BCC" w14:textId="77777777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Віртуальні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екскурсії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5F92B17C" w14:textId="5EECB2BE" w:rsidR="002F6E7D" w:rsidRPr="002F6E7D" w:rsidRDefault="002F6E7D" w:rsidP="002F6E7D">
      <w:pPr>
        <w:numPr>
          <w:ilvl w:val="0"/>
          <w:numId w:val="8"/>
        </w:numPr>
        <w:spacing w:before="240" w:after="240" w:line="240" w:lineRule="auto"/>
        <w:ind w:left="142" w:firstLine="0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Квести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кросворди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ребуси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пазли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19AFC34E" w14:textId="77777777" w:rsidR="002F6E7D" w:rsidRPr="002F6E7D" w:rsidRDefault="002F6E7D" w:rsidP="002F6E7D">
      <w:pPr>
        <w:spacing w:before="300" w:after="300" w:line="240" w:lineRule="auto"/>
        <w:ind w:left="300" w:right="300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t>ПРАКТИЧНІ МЕТОДИ НАВЧАННЯ</w:t>
      </w:r>
    </w:p>
    <w:p w14:paraId="06E45856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прийоми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форми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засновані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У такому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разі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короткі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вступні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інструкції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рекомендації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 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якщо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потрібно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брати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безпосередню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участь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Наприклад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демонструвати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дослід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011D9C49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у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вузі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школі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включають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:</w:t>
      </w:r>
    </w:p>
    <w:p w14:paraId="6801431B" w14:textId="77777777" w:rsidR="002F6E7D" w:rsidRPr="002F6E7D" w:rsidRDefault="002F6E7D" w:rsidP="002F6E7D">
      <w:pPr>
        <w:numPr>
          <w:ilvl w:val="0"/>
          <w:numId w:val="9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Зазвичай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 них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переходять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після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вивчення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розділу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закріплення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повторення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матеріалу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Вони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узагальнювальний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характер.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письмові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усні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працюють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комп’ютерними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програмами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1378518F" w14:textId="77777777" w:rsidR="002F6E7D" w:rsidRPr="002F6E7D" w:rsidRDefault="002F6E7D" w:rsidP="002F6E7D">
      <w:pPr>
        <w:numPr>
          <w:ilvl w:val="0"/>
          <w:numId w:val="9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Лабораторні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відміну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занять,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передбачають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теми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основі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отриманих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результатів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експериментів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дослідів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використанням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вимірювальних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приладів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обладнання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Цифрові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заносяться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спеціальних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бланків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зошитів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використовуються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розв’язання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задач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проведення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подальших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розрахунків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09DD855D" w14:textId="77777777" w:rsidR="002F6E7D" w:rsidRPr="002F6E7D" w:rsidRDefault="002F6E7D" w:rsidP="002F6E7D">
      <w:pPr>
        <w:numPr>
          <w:ilvl w:val="0"/>
          <w:numId w:val="9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Вправи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застосовуються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будь-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якому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етапі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допомагають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задіювати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інтелектуальні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комунікативні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пошукові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здібності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Вони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можуть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включати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відповіді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запитання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розв’язання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задач,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рівнянь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виправлення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помилок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складання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порівняльних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таблиць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графіків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т.п.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Головними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принципами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дієвості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цього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методу є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багаторазовість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постійність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0F8B4333" w14:textId="03C6CFA8" w:rsidR="002F6E7D" w:rsidRPr="002F6E7D" w:rsidRDefault="002F6E7D" w:rsidP="002F6E7D">
      <w:pPr>
        <w:numPr>
          <w:ilvl w:val="0"/>
          <w:numId w:val="9"/>
        </w:numPr>
        <w:spacing w:before="240" w:after="240" w:line="240" w:lineRule="auto"/>
        <w:ind w:left="0" w:firstLine="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lastRenderedPageBreak/>
        <w:t>Творчі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роботи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Мета таких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робіт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–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розвиток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творчого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мислення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ерудиції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логіки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вміння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комбінувати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техніки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способи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охоплюють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: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написання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курсових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дипломних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робіт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проведення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власних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досліджень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також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написання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рецензій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відгуків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статей,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творів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створення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макетів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ілюстрацій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програм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багато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іншого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 </w:t>
      </w:r>
    </w:p>
    <w:p w14:paraId="6C9DA51C" w14:textId="77777777" w:rsidR="002F6E7D" w:rsidRPr="002F6E7D" w:rsidRDefault="002F6E7D" w:rsidP="002F6E7D">
      <w:pPr>
        <w:spacing w:before="300" w:after="300" w:line="240" w:lineRule="auto"/>
        <w:ind w:left="300" w:right="300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r w:rsidRPr="002F6E7D">
        <w:rPr>
          <w:rFonts w:ascii="Arial" w:eastAsia="Times New Roman" w:hAnsi="Arial" w:cs="Arial"/>
          <w:b/>
          <w:bCs/>
          <w:color w:val="353535"/>
          <w:sz w:val="36"/>
          <w:szCs w:val="36"/>
          <w:lang w:val="ru-UA" w:eastAsia="ru-UA"/>
        </w:rPr>
        <w:t>МЕТОДИ ДИСТАНЦІЙНОГО НАВЧАННЯ</w:t>
      </w:r>
    </w:p>
    <w:p w14:paraId="76D41C1A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відстані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допомогою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інформаційних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технологій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повинен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відмінно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володіти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онлайн ресурсами: платформами,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інтерактивними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дошками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програмами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конструкторами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тестів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т.п.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для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необхідно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адаптувати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мультимедійних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можливостей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комп’ютера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4247183E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Запроваджувати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інструменти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навчальний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процес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потрібно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поступово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: не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перевантажувати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не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відволікати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суті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предмету. </w:t>
      </w:r>
    </w:p>
    <w:p w14:paraId="3C79D3AC" w14:textId="77777777" w:rsidR="002F6E7D" w:rsidRPr="002F6E7D" w:rsidRDefault="002F6E7D" w:rsidP="002F6E7D">
      <w:pPr>
        <w:spacing w:after="0" w:line="240" w:lineRule="auto"/>
        <w:jc w:val="both"/>
        <w:rPr>
          <w:rFonts w:ascii="Lato" w:eastAsia="Times New Roman" w:hAnsi="Lato" w:cs="Times New Roman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Ці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методи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нічим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не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відрізняються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традиційних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крім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онлайн формату. </w:t>
      </w:r>
    </w:p>
    <w:p w14:paraId="28BA3C76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Відеоконференції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форматі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лекцій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або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семінарів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Зв'язок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викладачем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забезпечують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різноманітні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сучасні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платформи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такі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як: Zoom,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Moodle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FreeConferenceCall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Edmodo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iSpring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Online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інші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0BAE3F94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Онлайн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дискусії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36C9D9E6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Індивідуальне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групове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консультування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додаткові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роз’яснення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щодо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виконання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через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чати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e-mail-надсилання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78B90AD1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Віддалені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лабораторні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практикуми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тестування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6DE0F1F4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Тренажери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віддаленим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доступом.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надає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учням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посилання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на тренажер, в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якому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вони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працюють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самостійно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потім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перевіряє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завдання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69AF0B8F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Відеозаписи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лекцій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практичних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занять;</w:t>
      </w:r>
    </w:p>
    <w:p w14:paraId="7B5B58C5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Вікторини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бліц-опитування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квізи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;</w:t>
      </w:r>
    </w:p>
    <w:p w14:paraId="7A696603" w14:textId="77777777" w:rsidR="002F6E7D" w:rsidRPr="002F6E7D" w:rsidRDefault="002F6E7D" w:rsidP="002F6E7D">
      <w:pPr>
        <w:numPr>
          <w:ilvl w:val="0"/>
          <w:numId w:val="10"/>
        </w:numPr>
        <w:spacing w:before="240" w:after="240" w:line="240" w:lineRule="auto"/>
        <w:ind w:left="0" w:firstLine="1020"/>
        <w:jc w:val="both"/>
        <w:rPr>
          <w:rFonts w:ascii="Lato" w:eastAsia="Times New Roman" w:hAnsi="Lato" w:cs="Arial"/>
          <w:color w:val="000000"/>
          <w:lang w:val="ru-UA" w:eastAsia="ru-UA"/>
        </w:rPr>
      </w:pP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Спільна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робота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студентів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і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викладача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з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додатками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,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комп’ютерними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 xml:space="preserve"> </w:t>
      </w:r>
      <w:proofErr w:type="spellStart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програмами</w:t>
      </w:r>
      <w:proofErr w:type="spellEnd"/>
      <w:r w:rsidRPr="002F6E7D">
        <w:rPr>
          <w:rFonts w:ascii="Arial" w:eastAsia="Times New Roman" w:hAnsi="Arial" w:cs="Arial"/>
          <w:color w:val="353535"/>
          <w:sz w:val="27"/>
          <w:szCs w:val="27"/>
          <w:lang w:val="ru-UA" w:eastAsia="ru-UA"/>
        </w:rPr>
        <w:t>.</w:t>
      </w:r>
    </w:p>
    <w:p w14:paraId="16EBAA8B" w14:textId="77777777" w:rsidR="008470D8" w:rsidRPr="002F6E7D" w:rsidRDefault="008470D8">
      <w:pPr>
        <w:rPr>
          <w:lang w:val="ru-UA"/>
        </w:rPr>
      </w:pPr>
    </w:p>
    <w:sectPr w:rsidR="008470D8" w:rsidRPr="002F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025"/>
    <w:multiLevelType w:val="multilevel"/>
    <w:tmpl w:val="B6544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7B98"/>
    <w:multiLevelType w:val="multilevel"/>
    <w:tmpl w:val="7DD61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B04A5"/>
    <w:multiLevelType w:val="multilevel"/>
    <w:tmpl w:val="A05EA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758EE"/>
    <w:multiLevelType w:val="multilevel"/>
    <w:tmpl w:val="C8284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95C86"/>
    <w:multiLevelType w:val="multilevel"/>
    <w:tmpl w:val="880A7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265A1"/>
    <w:multiLevelType w:val="multilevel"/>
    <w:tmpl w:val="41001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966D5"/>
    <w:multiLevelType w:val="multilevel"/>
    <w:tmpl w:val="9F26D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55756"/>
    <w:multiLevelType w:val="multilevel"/>
    <w:tmpl w:val="7F488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83FEB"/>
    <w:multiLevelType w:val="multilevel"/>
    <w:tmpl w:val="CCDC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71ADA"/>
    <w:multiLevelType w:val="multilevel"/>
    <w:tmpl w:val="C1FC6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7D"/>
    <w:rsid w:val="002F6E7D"/>
    <w:rsid w:val="008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6C0B"/>
  <w15:chartTrackingRefBased/>
  <w15:docId w15:val="{DD7BB1D5-9BF1-4029-976C-6646F8D1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6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E7D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customStyle="1" w:styleId="zfr3q">
    <w:name w:val="zfr3q"/>
    <w:basedOn w:val="a"/>
    <w:rsid w:val="002F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c9dxtc">
    <w:name w:val="c9dxtc"/>
    <w:basedOn w:val="a0"/>
    <w:rsid w:val="002F6E7D"/>
  </w:style>
  <w:style w:type="character" w:customStyle="1" w:styleId="jgg6ef">
    <w:name w:val="jgg6ef"/>
    <w:basedOn w:val="a0"/>
    <w:rsid w:val="002F6E7D"/>
  </w:style>
  <w:style w:type="character" w:styleId="a3">
    <w:name w:val="Hyperlink"/>
    <w:basedOn w:val="a0"/>
    <w:uiPriority w:val="99"/>
    <w:semiHidden/>
    <w:unhideWhenUsed/>
    <w:rsid w:val="002F6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1729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 </cp:lastModifiedBy>
  <cp:revision>1</cp:revision>
  <dcterms:created xsi:type="dcterms:W3CDTF">2025-02-27T17:35:00Z</dcterms:created>
  <dcterms:modified xsi:type="dcterms:W3CDTF">2025-02-27T17:39:00Z</dcterms:modified>
</cp:coreProperties>
</file>