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2B85B" w14:textId="76BFD371" w:rsidR="007C2226" w:rsidRPr="007C2226" w:rsidRDefault="007C2226" w:rsidP="000C6CB3">
      <w:pPr>
        <w:pStyle w:val="Heading1"/>
        <w:jc w:val="center"/>
      </w:pPr>
      <w:r w:rsidRPr="007C2226">
        <w:t>Medical Report</w:t>
      </w:r>
    </w:p>
    <w:p>
      <w:r>
        <w:t>Medical Report</w:t>
      </w:r>
    </w:p>
    <w:p w14:paraId="136DAF7D" w14:textId="0660D881" w:rsidR="007C2226" w:rsidRPr="0002387D" w:rsidRDefault="007C2226" w:rsidP="008772E1">
      <w:pPr>
        <w:rPr>
          <w:b/>
          <w:bCs/>
          <w:color w:val="000000" w:themeColor="text1"/>
        </w:rPr>
      </w:pPr>
      <w:r w:rsidRPr="0002387D">
        <w:rPr>
          <w:b/>
          <w:bCs/>
          <w:color w:val="000000" w:themeColor="text1"/>
        </w:rPr>
        <w:t>Symptoms</w:t>
      </w:r>
    </w:p>
    <w:p>
      <w:r>
        <w:t>The patient presented with a history of persistent cough, fever, fatigue, and shortness of breath over the preceding four days.</w:t>
      </w:r>
    </w:p>
    <w:p w14:paraId="6B1CE032" w14:textId="4DD1D839" w:rsidR="007C2226" w:rsidRPr="0002387D" w:rsidRDefault="007C2226" w:rsidP="008772E1">
      <w:pPr>
        <w:rPr>
          <w:b/>
          <w:bCs/>
          <w:color w:val="000000" w:themeColor="text1"/>
        </w:rPr>
      </w:pPr>
      <w:r w:rsidRPr="0002387D">
        <w:rPr>
          <w:b/>
          <w:bCs/>
          <w:color w:val="000000" w:themeColor="text1"/>
        </w:rPr>
        <w:t>Diagnoses</w:t>
      </w:r>
    </w:p>
    <w:p>
      <w:r>
        <w:t>The clinical findings were suggestive of community-acquired pneumonia.</w:t>
      </w:r>
    </w:p>
    <w:p w14:paraId="68A35857" w14:textId="460C3FCF" w:rsidR="008772E1" w:rsidRPr="0002387D" w:rsidRDefault="007C2226" w:rsidP="008772E1">
      <w:pPr>
        <w:rPr>
          <w:b/>
          <w:bCs/>
          <w:color w:val="000000" w:themeColor="text1"/>
        </w:rPr>
      </w:pPr>
      <w:r w:rsidRPr="0002387D">
        <w:rPr>
          <w:b/>
          <w:bCs/>
          <w:color w:val="000000" w:themeColor="text1"/>
        </w:rPr>
        <w:t>Examination Findings</w:t>
      </w:r>
    </w:p>
    <w:p>
      <w:r>
        <w:t>On examination, the patient was febrile, with a temperature of 38.2°C, an elevated respiratory rate, and crackles heard over the right lower lung field.</w:t>
      </w:r>
    </w:p>
    <w:p w14:paraId="5D80E57C" w14:textId="589414F2" w:rsidR="008772E1" w:rsidRPr="0002387D" w:rsidRDefault="007C2226" w:rsidP="008772E1">
      <w:pPr>
        <w:rPr>
          <w:b/>
          <w:bCs/>
          <w:color w:val="000000" w:themeColor="text1"/>
        </w:rPr>
      </w:pPr>
      <w:r w:rsidRPr="0002387D">
        <w:rPr>
          <w:b/>
          <w:bCs/>
          <w:color w:val="000000" w:themeColor="text1"/>
        </w:rPr>
        <w:t>Medications</w:t>
      </w:r>
    </w:p>
    <w:p>
      <w:r>
        <w:t>Amoxicillin 500 mg orally three times daily for five days. Paracetamol 500 mg orally every six hours as required for fever and discomfort, with a maximum daily dose of 4 g for an adult, provided there are no contraindications.</w:t>
      </w:r>
    </w:p>
    <w:p w14:paraId="34F0A4C2" w14:textId="074DC0B0" w:rsidR="008772E1" w:rsidRPr="0002387D" w:rsidRDefault="007C2226" w:rsidP="008772E1">
      <w:pPr>
        <w:rPr>
          <w:b/>
          <w:bCs/>
          <w:color w:val="000000" w:themeColor="text1"/>
        </w:rPr>
      </w:pPr>
      <w:r w:rsidRPr="0002387D">
        <w:rPr>
          <w:b/>
          <w:bCs/>
          <w:color w:val="000000" w:themeColor="text1"/>
        </w:rPr>
        <w:t>Dosages</w:t>
      </w:r>
    </w:p>
    <w:p>
      <w:r/>
    </w:p>
    <w:p w14:paraId="0EED70BC" w14:textId="4D0BA7CE" w:rsidR="008772E1" w:rsidRPr="0002387D" w:rsidRDefault="007C2226" w:rsidP="008772E1">
      <w:pPr>
        <w:rPr>
          <w:b/>
          <w:bCs/>
          <w:color w:val="000000" w:themeColor="text1"/>
        </w:rPr>
      </w:pPr>
      <w:r w:rsidRPr="0002387D">
        <w:rPr>
          <w:b/>
          <w:bCs/>
          <w:color w:val="000000" w:themeColor="text1"/>
        </w:rPr>
        <w:t>Referrals</w:t>
      </w:r>
    </w:p>
    <w:p>
      <w:r>
        <w:t>A referral to a respiratory specialist was recommended if symptoms persisted or the patient's condition deteriorated.</w:t>
      </w:r>
    </w:p>
    <w:p w14:paraId="460A8FFF" w14:textId="3A9004F3" w:rsidR="008772E1" w:rsidRPr="0002387D" w:rsidRDefault="007C2226" w:rsidP="008772E1">
      <w:pPr>
        <w:rPr>
          <w:b/>
          <w:bCs/>
          <w:color w:val="000000" w:themeColor="text1"/>
        </w:rPr>
      </w:pPr>
      <w:r w:rsidRPr="0002387D">
        <w:rPr>
          <w:b/>
          <w:bCs/>
          <w:color w:val="000000" w:themeColor="text1"/>
        </w:rPr>
        <w:t>Investigation Results</w:t>
      </w:r>
    </w:p>
    <w:p>
      <w:r>
        <w:t>Chest X-ray findings demonstrated right lower-lobe consolidation, and blood test results showed an elevated white blood cell count consistent with an acute infection.</w:t>
      </w:r>
    </w:p>
    <w:p w14:paraId="4F319F58" w14:textId="551B000E" w:rsidR="007C2226" w:rsidRPr="0002387D" w:rsidRDefault="007C2226" w:rsidP="008772E1">
      <w:pPr>
        <w:rPr>
          <w:b/>
          <w:bCs/>
          <w:color w:val="000000" w:themeColor="text1"/>
        </w:rPr>
      </w:pPr>
      <w:r w:rsidRPr="0002387D">
        <w:rPr>
          <w:b/>
          <w:bCs/>
          <w:color w:val="000000" w:themeColor="text1"/>
        </w:rPr>
        <w:t>Treatment Plans</w:t>
      </w:r>
    </w:p>
    <w:p>
      <w:r>
        <w:t>The patient was advised to maintain adequate hydration, rest, and complete the prescribed antibiotic course.</w:t>
      </w:r>
    </w:p>
    <w:p w14:paraId="0DD1DB03" w14:textId="5D5F93C7" w:rsidR="008772E1" w:rsidRPr="0002387D" w:rsidRDefault="007C2226" w:rsidP="008772E1">
      <w:pPr>
        <w:rPr>
          <w:b/>
          <w:bCs/>
          <w:color w:val="000000" w:themeColor="text1"/>
        </w:rPr>
      </w:pPr>
      <w:r w:rsidRPr="0002387D">
        <w:rPr>
          <w:b/>
          <w:bCs/>
          <w:color w:val="000000" w:themeColor="text1"/>
        </w:rPr>
        <w:t>Safety-Netting Advice</w:t>
      </w:r>
    </w:p>
    <w:p>
      <w:r>
        <w:t>Safety-netting advice was provided, instructing the patient to seek urgent medical attention if they developed worsening breathlessness, chest pain, confusion, or persistent high fever.</w:t>
      </w:r>
    </w:p>
    <w:p w14:paraId="66695EEA" w14:textId="7A2DE673" w:rsidR="00C9774E" w:rsidRPr="0002387D" w:rsidRDefault="007C2226" w:rsidP="008772E1">
      <w:pPr>
        <w:rPr>
          <w:b/>
          <w:bCs/>
          <w:color w:val="000000" w:themeColor="text1"/>
        </w:rPr>
      </w:pPr>
      <w:r w:rsidRPr="0002387D">
        <w:rPr>
          <w:b/>
          <w:bCs/>
          <w:color w:val="000000" w:themeColor="text1"/>
        </w:rPr>
        <w:t>Follow-Up Instructions</w:t>
      </w:r>
    </w:p>
    <w:p>
      <w:r>
        <w:t>The patient was advised to arrange a follow-up appointment with their general practitioner within 48–72 hours to assess the response to treatment and to seek earlier review if symptoms worsened.</w:t>
      </w:r>
    </w:p>
    <w:sectPr w:rsidR="00C9774E" w:rsidRPr="00023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D93"/>
    <w:rsid w:val="0002387D"/>
    <w:rsid w:val="000C6CB3"/>
    <w:rsid w:val="003A0EA9"/>
    <w:rsid w:val="006A6D93"/>
    <w:rsid w:val="007C2226"/>
    <w:rsid w:val="008772E1"/>
    <w:rsid w:val="00C8555A"/>
    <w:rsid w:val="00C9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AF158"/>
  <w15:chartTrackingRefBased/>
  <w15:docId w15:val="{A14A50C1-AFB3-4D80-BA60-8CF755F2E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C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22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C6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</dc:creator>
  <cp:keywords/>
  <dc:description/>
  <cp:lastModifiedBy>Work</cp:lastModifiedBy>
  <cp:revision>6</cp:revision>
  <dcterms:created xsi:type="dcterms:W3CDTF">2026-10-29T18:48:00Z</dcterms:created>
  <dcterms:modified xsi:type="dcterms:W3CDTF">2026-11-02T04:24:00Z</dcterms:modified>
</cp:coreProperties>
</file>