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after="200"/>
      </w:pPr>
      <w:r>
        <w:rPr>
          <w:rFonts w:ascii="Aptos Display" w:hAnsi="Aptos Display"/>
          <w:b/>
          <w:color w:val="183F3A"/>
          <w:sz w:val="76"/>
        </w:rPr>
        <w:t>CAPITAL</w:t>
        <w:br/>
        <w:t>IN MOTION</w:t>
      </w:r>
    </w:p>
    <w:p>
      <w:pPr>
        <w:spacing w:after="320"/>
      </w:pPr>
      <w:r>
        <w:rPr>
          <w:rFonts w:ascii="Aptos Display" w:hAnsi="Aptos Display"/>
          <w:b/>
          <w:color w:val="D86A4A"/>
          <w:sz w:val="42"/>
        </w:rPr>
        <w:t>Indian Startup Funding Analysis | 2015–2020</w:t>
      </w:r>
    </w:p>
    <w:p>
      <w:pPr>
        <w:spacing w:after="100" w:line="259" w:lineRule="auto"/>
      </w:pPr>
      <w:r>
        <w:rPr>
          <w:rFonts w:ascii="Aptos" w:hAnsi="Aptos"/>
          <w:i w:val="0"/>
          <w:color w:val="66736D"/>
          <w:sz w:val="24"/>
        </w:rPr>
        <w:t>A management-ready review of investment patterns, source-data reliability, and the actions required to make the reporting decision-ready.</w:t>
      </w:r>
    </w:p>
    <w:p>
      <w:pPr>
        <w:spacing w:before="360" w:after="160"/>
      </w:pPr>
      <w:r>
        <w:rPr>
          <w:b/>
          <w:color w:val="2C7A72"/>
          <w:sz w:val="18"/>
        </w:rPr>
        <w:t>THE VERIFIED BASELINE</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016"/>
            <w:vAlign w:val="center"/>
            <w:shd w:fill="183F3A"/>
          </w:tcPr>
          <w:p>
            <w:pPr>
              <w:spacing w:after="0" w:before="0"/>
            </w:pPr>
            <w:r/>
            <w:r>
              <w:rPr>
                <w:rFonts w:ascii="Aptos" w:hAnsi="Aptos"/>
                <w:b/>
                <w:color w:val="FFFFFF"/>
                <w:sz w:val="20"/>
              </w:rPr>
              <w:t>RECORDS</w:t>
            </w:r>
          </w:p>
        </w:tc>
        <w:tc>
          <w:tcPr>
            <w:tcW w:type="dxa" w:w="2304"/>
            <w:vAlign w:val="center"/>
            <w:shd w:fill="183F3A"/>
          </w:tcPr>
          <w:p>
            <w:pPr>
              <w:spacing w:after="0" w:before="0"/>
            </w:pPr>
            <w:r/>
            <w:r>
              <w:rPr>
                <w:rFonts w:ascii="Aptos" w:hAnsi="Aptos"/>
                <w:b/>
                <w:color w:val="FFFFFF"/>
                <w:sz w:val="20"/>
              </w:rPr>
              <w:t>DISCLOSED AMOUNTS</w:t>
            </w:r>
          </w:p>
        </w:tc>
        <w:tc>
          <w:tcPr>
            <w:tcW w:type="dxa" w:w="2448"/>
            <w:vAlign w:val="center"/>
            <w:shd w:fill="183F3A"/>
          </w:tcPr>
          <w:p>
            <w:pPr>
              <w:spacing w:after="0" w:before="0"/>
            </w:pPr>
            <w:r/>
            <w:r>
              <w:rPr>
                <w:rFonts w:ascii="Aptos" w:hAnsi="Aptos"/>
                <w:b/>
                <w:color w:val="FFFFFF"/>
                <w:sz w:val="20"/>
              </w:rPr>
              <w:t>DISCLOSED FUNDING</w:t>
            </w:r>
          </w:p>
        </w:tc>
        <w:tc>
          <w:tcPr>
            <w:tcW w:type="dxa" w:w="2880"/>
            <w:vAlign w:val="center"/>
            <w:shd w:fill="183F3A"/>
          </w:tcPr>
          <w:p>
            <w:pPr>
              <w:spacing w:after="0" w:before="0"/>
            </w:pPr>
            <w:r/>
            <w:r>
              <w:rPr>
                <w:rFonts w:ascii="Aptos" w:hAnsi="Aptos"/>
                <w:b/>
                <w:color w:val="FFFFFF"/>
                <w:sz w:val="20"/>
              </w:rPr>
              <w:t>FUNDING DISCLOSURE RATE</w:t>
            </w:r>
          </w:p>
        </w:tc>
      </w:tr>
      <w:tr>
        <w:trPr>
          <w:cantSplit/>
        </w:trPr>
        <w:tc>
          <w:tcPr>
            <w:tcW w:type="dxa" w:w="2016"/>
            <w:vAlign w:val="center"/>
          </w:tcPr>
          <w:p>
            <w:pPr>
              <w:spacing w:after="0" w:before="0"/>
            </w:pPr>
            <w:r/>
            <w:r>
              <w:rPr>
                <w:rFonts w:ascii="Aptos" w:hAnsi="Aptos"/>
                <w:b w:val="0"/>
                <w:color w:val="172D2A"/>
                <w:sz w:val="20"/>
              </w:rPr>
              <w:t>3,044</w:t>
            </w:r>
          </w:p>
        </w:tc>
        <w:tc>
          <w:tcPr>
            <w:tcW w:type="dxa" w:w="2304"/>
            <w:vAlign w:val="center"/>
          </w:tcPr>
          <w:p>
            <w:pPr>
              <w:spacing w:after="0" w:before="0"/>
            </w:pPr>
            <w:r/>
            <w:r>
              <w:rPr>
                <w:rFonts w:ascii="Aptos" w:hAnsi="Aptos"/>
                <w:b w:val="0"/>
                <w:color w:val="172D2A"/>
                <w:sz w:val="20"/>
              </w:rPr>
              <w:t>2,073</w:t>
            </w:r>
          </w:p>
        </w:tc>
        <w:tc>
          <w:tcPr>
            <w:tcW w:type="dxa" w:w="2448"/>
            <w:vAlign w:val="center"/>
          </w:tcPr>
          <w:p>
            <w:pPr>
              <w:spacing w:after="0" w:before="0"/>
            </w:pPr>
            <w:r/>
            <w:r>
              <w:rPr>
                <w:rFonts w:ascii="Aptos" w:hAnsi="Aptos"/>
                <w:b w:val="0"/>
                <w:color w:val="172D2A"/>
                <w:sz w:val="20"/>
              </w:rPr>
              <w:t>$38.14B</w:t>
            </w:r>
          </w:p>
        </w:tc>
        <w:tc>
          <w:tcPr>
            <w:tcW w:type="dxa" w:w="2880"/>
            <w:vAlign w:val="center"/>
          </w:tcPr>
          <w:p>
            <w:pPr>
              <w:spacing w:after="0" w:before="0"/>
            </w:pPr>
            <w:r/>
            <w:r>
              <w:rPr>
                <w:rFonts w:ascii="Aptos" w:hAnsi="Aptos"/>
                <w:b w:val="0"/>
                <w:color w:val="172D2A"/>
                <w:sz w:val="20"/>
              </w:rPr>
              <w:t>68.1%</w:t>
            </w:r>
          </w:p>
        </w:tc>
      </w:tr>
    </w:tbl>
    <w:p>
      <w:pPr>
        <w:spacing w:after="0"/>
      </w:pPr>
    </w:p>
    <w:p>
      <w:pPr>
        <w:spacing w:after="100" w:line="259" w:lineRule="auto"/>
      </w:pPr>
      <w:r>
        <w:rPr>
          <w:rFonts w:ascii="Aptos" w:hAnsi="Aptos"/>
          <w:i w:val="0"/>
          <w:color w:val="66736D"/>
          <w:sz w:val="18"/>
        </w:rPr>
        <w:t>Prepared from the supplied cleaned CSV, cleaning notebook, business problem statement, SQL query documentation, and three Power BI screenshots.</w:t>
      </w:r>
    </w:p>
    <w:p>
      <w:pPr>
        <w:spacing w:after="100" w:line="259" w:lineRule="auto"/>
      </w:pPr>
      <w:r>
        <w:rPr>
          <w:rFonts w:ascii="Aptos" w:hAnsi="Aptos"/>
          <w:i/>
          <w:color w:val="D86A4A"/>
          <w:sz w:val="18"/>
        </w:rPr>
        <w:t>Evidence standard: figures in the analysis are independently recalculated from the supplied cleaned CSV. SQL execution, end-to-end re-execution of the notebook, and DAX validation in Power BI Desktop were not available for this review.</w:t>
      </w:r>
    </w:p>
    <w:p>
      <w:r>
        <w:br w:type="page"/>
      </w:r>
    </w:p>
    <w:p>
      <w:pPr>
        <w:spacing w:after="40"/>
      </w:pPr>
      <w:r>
        <w:rPr>
          <w:rFonts w:ascii="Aptos" w:hAnsi="Aptos"/>
          <w:b/>
          <w:color w:val="D86A4A"/>
          <w:sz w:val="16"/>
        </w:rPr>
        <w:t>01 | EXECUTIVE READOUT</w:t>
      </w:r>
    </w:p>
    <w:p>
      <w:pPr>
        <w:spacing w:after="80"/>
      </w:pPr>
      <w:r>
        <w:rPr>
          <w:rFonts w:ascii="Aptos Display" w:hAnsi="Aptos Display"/>
          <w:b/>
          <w:color w:val="183F3A"/>
          <w:sz w:val="44"/>
        </w:rPr>
        <w:t>The capital story is concentrated — but the dataset needs stronger controls</w:t>
      </w:r>
    </w:p>
    <w:p>
      <w:pPr>
        <w:spacing w:after="100" w:line="259" w:lineRule="auto"/>
      </w:pPr>
      <w:r>
        <w:rPr>
          <w:rFonts w:ascii="Aptos" w:hAnsi="Aptos"/>
          <w:i w:val="0"/>
          <w:color w:val="66736D"/>
          <w:sz w:val="20"/>
        </w:rPr>
        <w:t>The data supports a useful directional view of disclosed startup funding. It does not yet support unqualified market-wide trend claims or definitive individual-investor rankings.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232"/>
            <w:vAlign w:val="center"/>
            <w:shd w:fill="183F3A"/>
          </w:tcPr>
          <w:p>
            <w:pPr>
              <w:spacing w:after="0" w:before="0"/>
            </w:pPr>
            <w:r/>
            <w:r>
              <w:rPr>
                <w:rFonts w:ascii="Aptos" w:hAnsi="Aptos"/>
                <w:b/>
                <w:color w:val="FFFFFF"/>
                <w:sz w:val="16"/>
              </w:rPr>
              <w:t>Verified finding</w:t>
            </w:r>
          </w:p>
        </w:tc>
        <w:tc>
          <w:tcPr>
            <w:tcW w:type="dxa" w:w="3312"/>
            <w:vAlign w:val="center"/>
            <w:shd w:fill="183F3A"/>
          </w:tcPr>
          <w:p>
            <w:pPr>
              <w:spacing w:after="0" w:before="0"/>
            </w:pPr>
            <w:r/>
            <w:r>
              <w:rPr>
                <w:rFonts w:ascii="Aptos" w:hAnsi="Aptos"/>
                <w:b/>
                <w:color w:val="FFFFFF"/>
                <w:sz w:val="16"/>
              </w:rPr>
              <w:t>Evidence from supplied cleaned CSV</w:t>
            </w:r>
          </w:p>
        </w:tc>
        <w:tc>
          <w:tcPr>
            <w:tcW w:type="dxa" w:w="3888"/>
            <w:vAlign w:val="center"/>
            <w:shd w:fill="183F3A"/>
          </w:tcPr>
          <w:p>
            <w:pPr>
              <w:spacing w:after="0" w:before="0"/>
            </w:pPr>
            <w:r/>
            <w:r>
              <w:rPr>
                <w:rFonts w:ascii="Aptos" w:hAnsi="Aptos"/>
                <w:b/>
                <w:color w:val="FFFFFF"/>
                <w:sz w:val="16"/>
              </w:rPr>
              <w:t>Business meaning</w:t>
            </w:r>
          </w:p>
        </w:tc>
      </w:tr>
      <w:tr>
        <w:trPr>
          <w:cantSplit/>
        </w:trPr>
        <w:tc>
          <w:tcPr>
            <w:tcW w:type="dxa" w:w="2232"/>
            <w:vAlign w:val="center"/>
          </w:tcPr>
          <w:p>
            <w:pPr>
              <w:spacing w:after="0" w:before="0"/>
            </w:pPr>
            <w:r/>
            <w:r>
              <w:rPr>
                <w:rFonts w:ascii="Aptos" w:hAnsi="Aptos"/>
                <w:b w:val="0"/>
                <w:color w:val="172D2A"/>
                <w:sz w:val="16"/>
              </w:rPr>
              <w:t>Disclosed funding totals $38.14B</w:t>
            </w:r>
          </w:p>
        </w:tc>
        <w:tc>
          <w:tcPr>
            <w:tcW w:type="dxa" w:w="3312"/>
            <w:vAlign w:val="center"/>
          </w:tcPr>
          <w:p>
            <w:pPr>
              <w:spacing w:after="0" w:before="0"/>
            </w:pPr>
            <w:r/>
            <w:r>
              <w:rPr>
                <w:rFonts w:ascii="Aptos" w:hAnsi="Aptos"/>
                <w:b w:val="0"/>
                <w:color w:val="172D2A"/>
                <w:sz w:val="16"/>
              </w:rPr>
              <w:t>2,073 of 3,044 records have numeric Amount_USD; sum = $38.144B</w:t>
            </w:r>
          </w:p>
        </w:tc>
        <w:tc>
          <w:tcPr>
            <w:tcW w:type="dxa" w:w="3888"/>
            <w:vAlign w:val="center"/>
          </w:tcPr>
          <w:p>
            <w:pPr>
              <w:spacing w:after="0" w:before="0"/>
            </w:pPr>
            <w:r/>
            <w:r>
              <w:rPr>
                <w:rFonts w:ascii="Aptos" w:hAnsi="Aptos"/>
                <w:b w:val="0"/>
                <w:color w:val="172D2A"/>
                <w:sz w:val="16"/>
              </w:rPr>
              <w:t>Funding totals reflect disclosed values only, not all funding raised.</w:t>
            </w:r>
          </w:p>
        </w:tc>
      </w:tr>
      <w:tr>
        <w:trPr>
          <w:cantSplit/>
        </w:trPr>
        <w:tc>
          <w:tcPr>
            <w:tcW w:type="dxa" w:w="2232"/>
            <w:vAlign w:val="center"/>
            <w:shd w:fill="F0F3ED"/>
          </w:tcPr>
          <w:p>
            <w:pPr>
              <w:spacing w:after="0" w:before="0"/>
            </w:pPr>
            <w:r/>
            <w:r>
              <w:rPr>
                <w:rFonts w:ascii="Aptos" w:hAnsi="Aptos"/>
                <w:b w:val="0"/>
                <w:color w:val="172D2A"/>
                <w:sz w:val="16"/>
              </w:rPr>
              <w:t>Private Equity is the largest funding-type bucket</w:t>
            </w:r>
          </w:p>
        </w:tc>
        <w:tc>
          <w:tcPr>
            <w:tcW w:type="dxa" w:w="3312"/>
            <w:vAlign w:val="center"/>
            <w:shd w:fill="F0F3ED"/>
          </w:tcPr>
          <w:p>
            <w:pPr>
              <w:spacing w:after="0" w:before="0"/>
            </w:pPr>
            <w:r/>
            <w:r>
              <w:rPr>
                <w:rFonts w:ascii="Aptos" w:hAnsi="Aptos"/>
                <w:b w:val="0"/>
                <w:color w:val="172D2A"/>
                <w:sz w:val="16"/>
              </w:rPr>
              <w:t>$27.23B; 71.4% of disclosed amount</w:t>
            </w:r>
          </w:p>
        </w:tc>
        <w:tc>
          <w:tcPr>
            <w:tcW w:type="dxa" w:w="3888"/>
            <w:vAlign w:val="center"/>
            <w:shd w:fill="F0F3ED"/>
          </w:tcPr>
          <w:p>
            <w:pPr>
              <w:spacing w:after="0" w:before="0"/>
            </w:pPr>
            <w:r/>
            <w:r>
              <w:rPr>
                <w:rFonts w:ascii="Aptos" w:hAnsi="Aptos"/>
                <w:b w:val="0"/>
                <w:color w:val="172D2A"/>
                <w:sz w:val="16"/>
              </w:rPr>
              <w:t>Reported funding is dominated by one stage/type classification.</w:t>
            </w:r>
          </w:p>
        </w:tc>
      </w:tr>
      <w:tr>
        <w:trPr>
          <w:cantSplit/>
        </w:trPr>
        <w:tc>
          <w:tcPr>
            <w:tcW w:type="dxa" w:w="2232"/>
            <w:vAlign w:val="center"/>
          </w:tcPr>
          <w:p>
            <w:pPr>
              <w:spacing w:after="0" w:before="0"/>
            </w:pPr>
            <w:r/>
            <w:r>
              <w:rPr>
                <w:rFonts w:ascii="Aptos" w:hAnsi="Aptos"/>
                <w:b w:val="0"/>
                <w:color w:val="172D2A"/>
                <w:sz w:val="16"/>
              </w:rPr>
              <w:t>Five highest-funding city labels dominate</w:t>
            </w:r>
          </w:p>
        </w:tc>
        <w:tc>
          <w:tcPr>
            <w:tcW w:type="dxa" w:w="3312"/>
            <w:vAlign w:val="center"/>
          </w:tcPr>
          <w:p>
            <w:pPr>
              <w:spacing w:after="0" w:before="0"/>
            </w:pPr>
            <w:r/>
            <w:r>
              <w:rPr>
                <w:rFonts w:ascii="Aptos" w:hAnsi="Aptos"/>
                <w:b w:val="0"/>
                <w:color w:val="172D2A"/>
                <w:sz w:val="16"/>
              </w:rPr>
              <w:t>$32.02B; 84.0% of disclosed funding</w:t>
            </w:r>
          </w:p>
        </w:tc>
        <w:tc>
          <w:tcPr>
            <w:tcW w:type="dxa" w:w="3888"/>
            <w:vAlign w:val="center"/>
          </w:tcPr>
          <w:p>
            <w:pPr>
              <w:spacing w:after="0" w:before="0"/>
            </w:pPr>
            <w:r/>
            <w:r>
              <w:rPr>
                <w:rFonts w:ascii="Aptos" w:hAnsi="Aptos"/>
                <w:b w:val="0"/>
                <w:color w:val="172D2A"/>
                <w:sz w:val="16"/>
              </w:rPr>
              <w:t>Geographic concentration is high; normalize locations before using it for expansion decisions.</w:t>
            </w:r>
          </w:p>
        </w:tc>
      </w:tr>
      <w:tr>
        <w:trPr>
          <w:cantSplit/>
        </w:trPr>
        <w:tc>
          <w:tcPr>
            <w:tcW w:type="dxa" w:w="2232"/>
            <w:vAlign w:val="center"/>
            <w:shd w:fill="F0F3ED"/>
          </w:tcPr>
          <w:p>
            <w:pPr>
              <w:spacing w:after="0" w:before="0"/>
            </w:pPr>
            <w:r/>
            <w:r>
              <w:rPr>
                <w:rFonts w:ascii="Aptos" w:hAnsi="Aptos"/>
                <w:b w:val="0"/>
                <w:color w:val="172D2A"/>
                <w:sz w:val="16"/>
              </w:rPr>
              <w:t>Mean deal size is far above the median</w:t>
            </w:r>
          </w:p>
        </w:tc>
        <w:tc>
          <w:tcPr>
            <w:tcW w:type="dxa" w:w="3312"/>
            <w:vAlign w:val="center"/>
            <w:shd w:fill="F0F3ED"/>
          </w:tcPr>
          <w:p>
            <w:pPr>
              <w:spacing w:after="0" w:before="0"/>
            </w:pPr>
            <w:r/>
            <w:r>
              <w:rPr>
                <w:rFonts w:ascii="Aptos" w:hAnsi="Aptos"/>
                <w:b w:val="0"/>
                <w:color w:val="172D2A"/>
                <w:sz w:val="16"/>
              </w:rPr>
              <w:t>Average $18.40M vs median $1.75M (10.5×)</w:t>
            </w:r>
          </w:p>
        </w:tc>
        <w:tc>
          <w:tcPr>
            <w:tcW w:type="dxa" w:w="3888"/>
            <w:vAlign w:val="center"/>
            <w:shd w:fill="F0F3ED"/>
          </w:tcPr>
          <w:p>
            <w:pPr>
              <w:spacing w:after="0" w:before="0"/>
            </w:pPr>
            <w:r/>
            <w:r>
              <w:rPr>
                <w:rFonts w:ascii="Aptos" w:hAnsi="Aptos"/>
                <w:b w:val="0"/>
                <w:color w:val="172D2A"/>
                <w:sz w:val="16"/>
              </w:rPr>
              <w:t>A small number of large rounds materially influence averages.</w:t>
            </w:r>
          </w:p>
        </w:tc>
      </w:tr>
      <w:tr>
        <w:trPr>
          <w:cantSplit/>
        </w:trPr>
        <w:tc>
          <w:tcPr>
            <w:tcW w:type="dxa" w:w="2232"/>
            <w:vAlign w:val="center"/>
          </w:tcPr>
          <w:p>
            <w:pPr>
              <w:spacing w:after="0" w:before="0"/>
            </w:pPr>
            <w:r/>
            <w:r>
              <w:rPr>
                <w:rFonts w:ascii="Aptos" w:hAnsi="Aptos"/>
                <w:b w:val="0"/>
                <w:color w:val="172D2A"/>
                <w:sz w:val="16"/>
              </w:rPr>
              <w:t>Source coverage thins sharply after 2016</w:t>
            </w:r>
          </w:p>
        </w:tc>
        <w:tc>
          <w:tcPr>
            <w:tcW w:type="dxa" w:w="3312"/>
            <w:vAlign w:val="center"/>
          </w:tcPr>
          <w:p>
            <w:pPr>
              <w:spacing w:after="0" w:before="0"/>
            </w:pPr>
            <w:r/>
            <w:r>
              <w:rPr>
                <w:rFonts w:ascii="Aptos" w:hAnsi="Aptos"/>
                <w:b w:val="0"/>
                <w:color w:val="172D2A"/>
                <w:sz w:val="16"/>
              </w:rPr>
              <w:t>993 records in 2016; 111 in 2019; 7 in January 2020</w:t>
            </w:r>
          </w:p>
        </w:tc>
        <w:tc>
          <w:tcPr>
            <w:tcW w:type="dxa" w:w="3888"/>
            <w:vAlign w:val="center"/>
          </w:tcPr>
          <w:p>
            <w:pPr>
              <w:spacing w:after="0" w:before="0"/>
            </w:pPr>
            <w:r/>
            <w:r>
              <w:rPr>
                <w:rFonts w:ascii="Aptos" w:hAnsi="Aptos"/>
                <w:b w:val="0"/>
                <w:color w:val="172D2A"/>
                <w:sz w:val="16"/>
              </w:rPr>
              <w:t>The record-count decline cannot be interpreted as market decline without coverage completeness evidence.</w:t>
            </w:r>
          </w:p>
        </w:tc>
      </w:tr>
    </w:tbl>
    <w:p>
      <w:pPr>
        <w:spacing w:after="0"/>
      </w:pPr>
    </w:p>
    <w:p>
      <w:pPr>
        <w:pStyle w:val="Heading2"/>
      </w:pPr>
      <w:r>
        <w:t>Recommended management stance</w:t>
      </w:r>
    </w:p>
    <w:p>
      <w:pPr>
        <w:spacing w:after="100" w:line="259" w:lineRule="auto"/>
      </w:pPr>
      <w:r>
        <w:rPr>
          <w:rFonts w:ascii="Aptos" w:hAnsi="Aptos"/>
          <w:i w:val="0"/>
          <w:sz w:val="20"/>
        </w:rPr>
        <w:t>Use this work as a descriptive funding landscape and a data-quality baseline. Before it becomes a capital-allocation tool, validate the $3.9B largest recorded deal, consolidate category taxonomies, normalize investor identities, build a complete month calendar, and reconcile Power BI totals to the CSV.</w:t>
      </w:r>
    </w:p>
    <w:p>
      <w:pPr>
        <w:pStyle w:val="Heading2"/>
      </w:pPr>
      <w:r>
        <w:t>What was and was not validated</w:t>
      </w:r>
    </w:p>
    <w:p>
      <w:pPr>
        <w:pStyle w:val="ListBullet"/>
        <w:spacing w:after="60" w:line="247" w:lineRule="auto"/>
      </w:pPr>
      <w:r>
        <w:rPr>
          <w:rFonts w:ascii="Aptos" w:hAnsi="Aptos"/>
          <w:color w:val="172D2A"/>
          <w:sz w:val="19"/>
        </w:rPr>
        <w:t>Passed: direct recalculation of core totals, year/city/stage summaries, missing-amount rates, deal-size distribution, and duplicate count from the supplied cleaned CSV.</w:t>
      </w:r>
    </w:p>
    <w:p>
      <w:pPr>
        <w:pStyle w:val="ListBullet"/>
        <w:spacing w:after="60" w:line="247" w:lineRule="auto"/>
      </w:pPr>
      <w:r>
        <w:rPr>
          <w:rFonts w:ascii="Aptos" w:hAnsi="Aptos"/>
          <w:color w:val="172D2A"/>
          <w:sz w:val="19"/>
        </w:rPr>
        <w:t>Not independently executed: Python cleaning notebook (raw input CSV was not supplied), MySQL queries (no database connection), and Power BI DAX/visual calculations (screenshots reviewed only).</w:t>
      </w:r>
    </w:p>
    <w:p>
      <w:r>
        <w:br w:type="page"/>
      </w:r>
    </w:p>
    <w:p>
      <w:pPr>
        <w:spacing w:after="40"/>
      </w:pPr>
      <w:r>
        <w:rPr>
          <w:rFonts w:ascii="Aptos" w:hAnsi="Aptos"/>
          <w:b/>
          <w:color w:val="D86A4A"/>
          <w:sz w:val="16"/>
        </w:rPr>
        <w:t>02 | BUSINESS PROBLEM</w:t>
      </w:r>
    </w:p>
    <w:p>
      <w:pPr>
        <w:spacing w:after="80"/>
      </w:pPr>
      <w:r>
        <w:rPr>
          <w:rFonts w:ascii="Aptos Display" w:hAnsi="Aptos Display"/>
          <w:b/>
          <w:color w:val="183F3A"/>
          <w:sz w:val="44"/>
        </w:rPr>
        <w:t>Business problem and analytical scope</w:t>
      </w:r>
    </w:p>
    <w:p>
      <w:pPr>
        <w:spacing w:after="100" w:line="259" w:lineRule="auto"/>
      </w:pPr>
      <w:r>
        <w:rPr>
          <w:rFonts w:ascii="Aptos" w:hAnsi="Aptos"/>
          <w:i w:val="0"/>
          <w:color w:val="66736D"/>
          <w:sz w:val="20"/>
        </w:rPr>
        <w:t>Original problem statement retained from the supplied brief.</w:t>
      </w:r>
    </w:p>
    <w:p>
      <w:pPr>
        <w:spacing w:after="100" w:line="259" w:lineRule="auto"/>
      </w:pPr>
      <w:r>
        <w:rPr>
          <w:rFonts w:ascii="Aptos" w:hAnsi="Aptos"/>
          <w:i/>
          <w:color w:val="183F3A"/>
          <w:sz w:val="24"/>
        </w:rPr>
        <w:t>“Analyze Indian startup funding data from 2015 to 2020 to uncover trends in investment activity, looking at which industries, cities, and funding stages attracted the most capital over time, and who the key investors were.”</w:t>
      </w:r>
    </w:p>
    <w:p>
      <w:pPr>
        <w:pStyle w:val="Heading2"/>
      </w:pPr>
      <w:r>
        <w:t>Six core questions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648"/>
            <w:vAlign w:val="center"/>
            <w:shd w:fill="183F3A"/>
          </w:tcPr>
          <w:p>
            <w:pPr>
              <w:spacing w:after="0" w:before="0"/>
            </w:pPr>
            <w:r/>
            <w:r>
              <w:rPr>
                <w:rFonts w:ascii="Aptos" w:hAnsi="Aptos"/>
                <w:b/>
                <w:color w:val="FFFFFF"/>
                <w:sz w:val="16"/>
              </w:rPr>
              <w:t>ID</w:t>
            </w:r>
          </w:p>
        </w:tc>
        <w:tc>
          <w:tcPr>
            <w:tcW w:type="dxa" w:w="4536"/>
            <w:vAlign w:val="center"/>
            <w:shd w:fill="183F3A"/>
          </w:tcPr>
          <w:p>
            <w:pPr>
              <w:spacing w:after="0" w:before="0"/>
            </w:pPr>
            <w:r/>
            <w:r>
              <w:rPr>
                <w:rFonts w:ascii="Aptos" w:hAnsi="Aptos"/>
                <w:b/>
                <w:color w:val="FFFFFF"/>
                <w:sz w:val="16"/>
              </w:rPr>
              <w:t>Business question</w:t>
            </w:r>
          </w:p>
        </w:tc>
        <w:tc>
          <w:tcPr>
            <w:tcW w:type="dxa" w:w="4248"/>
            <w:vAlign w:val="center"/>
            <w:shd w:fill="183F3A"/>
          </w:tcPr>
          <w:p>
            <w:pPr>
              <w:spacing w:after="0" w:before="0"/>
            </w:pPr>
            <w:r/>
            <w:r>
              <w:rPr>
                <w:rFonts w:ascii="Aptos" w:hAnsi="Aptos"/>
                <w:b/>
                <w:color w:val="FFFFFF"/>
                <w:sz w:val="16"/>
              </w:rPr>
              <w:t>Analytical approach</w:t>
            </w:r>
          </w:p>
        </w:tc>
      </w:tr>
      <w:tr>
        <w:trPr>
          <w:cantSplit/>
        </w:trPr>
        <w:tc>
          <w:tcPr>
            <w:tcW w:type="dxa" w:w="648"/>
            <w:vAlign w:val="center"/>
          </w:tcPr>
          <w:p>
            <w:pPr>
              <w:spacing w:after="0" w:before="0"/>
            </w:pPr>
            <w:r/>
            <w:r>
              <w:rPr>
                <w:rFonts w:ascii="Aptos" w:hAnsi="Aptos"/>
                <w:b w:val="0"/>
                <w:color w:val="172D2A"/>
                <w:sz w:val="16"/>
              </w:rPr>
              <w:t>01</w:t>
            </w:r>
          </w:p>
        </w:tc>
        <w:tc>
          <w:tcPr>
            <w:tcW w:type="dxa" w:w="4536"/>
            <w:vAlign w:val="center"/>
          </w:tcPr>
          <w:p>
            <w:pPr>
              <w:spacing w:after="0" w:before="0"/>
            </w:pPr>
            <w:r/>
            <w:r>
              <w:rPr>
                <w:rFonts w:ascii="Aptos" w:hAnsi="Aptos"/>
                <w:b w:val="0"/>
                <w:color w:val="172D2A"/>
                <w:sz w:val="16"/>
              </w:rPr>
              <w:t>How has total funding trended over time, both in deal count and dollar amount, month-over-month and year-over-year?</w:t>
            </w:r>
          </w:p>
        </w:tc>
        <w:tc>
          <w:tcPr>
            <w:tcW w:type="dxa" w:w="4248"/>
            <w:vAlign w:val="center"/>
          </w:tcPr>
          <w:p>
            <w:pPr>
              <w:spacing w:after="0" w:before="0"/>
            </w:pPr>
            <w:r/>
            <w:r>
              <w:rPr>
                <w:rFonts w:ascii="Aptos" w:hAnsi="Aptos"/>
                <w:b w:val="0"/>
                <w:color w:val="172D2A"/>
                <w:sz w:val="16"/>
              </w:rPr>
              <w:t>Year/month sums; record count vs disclosed-amount count; growth only where period coverage is comparable.</w:t>
            </w:r>
          </w:p>
        </w:tc>
      </w:tr>
      <w:tr>
        <w:trPr>
          <w:cantSplit/>
        </w:trPr>
        <w:tc>
          <w:tcPr>
            <w:tcW w:type="dxa" w:w="648"/>
            <w:vAlign w:val="center"/>
            <w:shd w:fill="F0F3ED"/>
          </w:tcPr>
          <w:p>
            <w:pPr>
              <w:spacing w:after="0" w:before="0"/>
            </w:pPr>
            <w:r/>
            <w:r>
              <w:rPr>
                <w:rFonts w:ascii="Aptos" w:hAnsi="Aptos"/>
                <w:b w:val="0"/>
                <w:color w:val="172D2A"/>
                <w:sz w:val="16"/>
              </w:rPr>
              <w:t>02</w:t>
            </w:r>
          </w:p>
        </w:tc>
        <w:tc>
          <w:tcPr>
            <w:tcW w:type="dxa" w:w="4536"/>
            <w:vAlign w:val="center"/>
            <w:shd w:fill="F0F3ED"/>
          </w:tcPr>
          <w:p>
            <w:pPr>
              <w:spacing w:after="0" w:before="0"/>
            </w:pPr>
            <w:r/>
            <w:r>
              <w:rPr>
                <w:rFonts w:ascii="Aptos" w:hAnsi="Aptos"/>
                <w:b w:val="0"/>
                <w:color w:val="172D2A"/>
                <w:sz w:val="16"/>
              </w:rPr>
              <w:t>Which industries received the most funding, and how has that shifted over time?</w:t>
            </w:r>
          </w:p>
        </w:tc>
        <w:tc>
          <w:tcPr>
            <w:tcW w:type="dxa" w:w="4248"/>
            <w:vAlign w:val="center"/>
            <w:shd w:fill="F0F3ED"/>
          </w:tcPr>
          <w:p>
            <w:pPr>
              <w:spacing w:after="0" w:before="0"/>
            </w:pPr>
            <w:r/>
            <w:r>
              <w:rPr>
                <w:rFonts w:ascii="Aptos" w:hAnsi="Aptos"/>
                <w:b w:val="0"/>
                <w:color w:val="172D2A"/>
                <w:sz w:val="16"/>
              </w:rPr>
              <w:t>Funding by industry; explicit label normalization and before/after taxonomy checks.</w:t>
            </w:r>
          </w:p>
        </w:tc>
      </w:tr>
      <w:tr>
        <w:trPr>
          <w:cantSplit/>
        </w:trPr>
        <w:tc>
          <w:tcPr>
            <w:tcW w:type="dxa" w:w="648"/>
            <w:vAlign w:val="center"/>
          </w:tcPr>
          <w:p>
            <w:pPr>
              <w:spacing w:after="0" w:before="0"/>
            </w:pPr>
            <w:r/>
            <w:r>
              <w:rPr>
                <w:rFonts w:ascii="Aptos" w:hAnsi="Aptos"/>
                <w:b w:val="0"/>
                <w:color w:val="172D2A"/>
                <w:sz w:val="16"/>
              </w:rPr>
              <w:t>03</w:t>
            </w:r>
          </w:p>
        </w:tc>
        <w:tc>
          <w:tcPr>
            <w:tcW w:type="dxa" w:w="4536"/>
            <w:vAlign w:val="center"/>
          </w:tcPr>
          <w:p>
            <w:pPr>
              <w:spacing w:after="0" w:before="0"/>
            </w:pPr>
            <w:r/>
            <w:r>
              <w:rPr>
                <w:rFonts w:ascii="Aptos" w:hAnsi="Aptos"/>
                <w:b w:val="0"/>
                <w:color w:val="172D2A"/>
                <w:sz w:val="16"/>
              </w:rPr>
              <w:t>Which cities are the biggest startup hubs by funding volume?</w:t>
            </w:r>
          </w:p>
        </w:tc>
        <w:tc>
          <w:tcPr>
            <w:tcW w:type="dxa" w:w="4248"/>
            <w:vAlign w:val="center"/>
          </w:tcPr>
          <w:p>
            <w:pPr>
              <w:spacing w:after="0" w:before="0"/>
            </w:pPr>
            <w:r/>
            <w:r>
              <w:rPr>
                <w:rFonts w:ascii="Aptos" w:hAnsi="Aptos"/>
                <w:b w:val="0"/>
                <w:color w:val="172D2A"/>
                <w:sz w:val="16"/>
              </w:rPr>
              <w:t>Funding by city label; isolate Indian city records and reconcile geography fields.</w:t>
            </w:r>
          </w:p>
        </w:tc>
      </w:tr>
      <w:tr>
        <w:trPr>
          <w:cantSplit/>
        </w:trPr>
        <w:tc>
          <w:tcPr>
            <w:tcW w:type="dxa" w:w="648"/>
            <w:vAlign w:val="center"/>
            <w:shd w:fill="F0F3ED"/>
          </w:tcPr>
          <w:p>
            <w:pPr>
              <w:spacing w:after="0" w:before="0"/>
            </w:pPr>
            <w:r/>
            <w:r>
              <w:rPr>
                <w:rFonts w:ascii="Aptos" w:hAnsi="Aptos"/>
                <w:b w:val="0"/>
                <w:color w:val="172D2A"/>
                <w:sz w:val="16"/>
              </w:rPr>
              <w:t>04</w:t>
            </w:r>
          </w:p>
        </w:tc>
        <w:tc>
          <w:tcPr>
            <w:tcW w:type="dxa" w:w="4536"/>
            <w:vAlign w:val="center"/>
            <w:shd w:fill="F0F3ED"/>
          </w:tcPr>
          <w:p>
            <w:pPr>
              <w:spacing w:after="0" w:before="0"/>
            </w:pPr>
            <w:r/>
            <w:r>
              <w:rPr>
                <w:rFonts w:ascii="Aptos" w:hAnsi="Aptos"/>
                <w:b w:val="0"/>
                <w:color w:val="172D2A"/>
                <w:sz w:val="16"/>
              </w:rPr>
              <w:t>How is funding distributed across funding stages, from Seed and Series A/B/C through Private Equity and Debt?</w:t>
            </w:r>
          </w:p>
        </w:tc>
        <w:tc>
          <w:tcPr>
            <w:tcW w:type="dxa" w:w="4248"/>
            <w:vAlign w:val="center"/>
            <w:shd w:fill="F0F3ED"/>
          </w:tcPr>
          <w:p>
            <w:pPr>
              <w:spacing w:after="0" w:before="0"/>
            </w:pPr>
            <w:r/>
            <w:r>
              <w:rPr>
                <w:rFonts w:ascii="Aptos" w:hAnsi="Aptos"/>
                <w:b w:val="0"/>
                <w:color w:val="172D2A"/>
                <w:sz w:val="16"/>
              </w:rPr>
              <w:t>Funding-type distribution using Investment_Type_Clean; show value and deal counts.</w:t>
            </w:r>
          </w:p>
        </w:tc>
      </w:tr>
      <w:tr>
        <w:trPr>
          <w:cantSplit/>
        </w:trPr>
        <w:tc>
          <w:tcPr>
            <w:tcW w:type="dxa" w:w="648"/>
            <w:vAlign w:val="center"/>
          </w:tcPr>
          <w:p>
            <w:pPr>
              <w:spacing w:after="0" w:before="0"/>
            </w:pPr>
            <w:r/>
            <w:r>
              <w:rPr>
                <w:rFonts w:ascii="Aptos" w:hAnsi="Aptos"/>
                <w:b w:val="0"/>
                <w:color w:val="172D2A"/>
                <w:sz w:val="16"/>
              </w:rPr>
              <w:t>05</w:t>
            </w:r>
          </w:p>
        </w:tc>
        <w:tc>
          <w:tcPr>
            <w:tcW w:type="dxa" w:w="4536"/>
            <w:vAlign w:val="center"/>
          </w:tcPr>
          <w:p>
            <w:pPr>
              <w:spacing w:after="0" w:before="0"/>
            </w:pPr>
            <w:r/>
            <w:r>
              <w:rPr>
                <w:rFonts w:ascii="Aptos" w:hAnsi="Aptos"/>
                <w:b w:val="0"/>
                <w:color w:val="172D2A"/>
                <w:sz w:val="16"/>
              </w:rPr>
              <w:t>Who are the top investors, by number of deals and by total amount invested?</w:t>
            </w:r>
          </w:p>
        </w:tc>
        <w:tc>
          <w:tcPr>
            <w:tcW w:type="dxa" w:w="4248"/>
            <w:vAlign w:val="center"/>
          </w:tcPr>
          <w:p>
            <w:pPr>
              <w:spacing w:after="0" w:before="0"/>
            </w:pPr>
            <w:r/>
            <w:r>
              <w:rPr>
                <w:rFonts w:ascii="Aptos" w:hAnsi="Aptos"/>
                <w:b w:val="0"/>
                <w:color w:val="172D2A"/>
                <w:sz w:val="16"/>
              </w:rPr>
              <w:t>Current strings are not reliable individual-investor entities until multi-name cells are normalized.</w:t>
            </w:r>
          </w:p>
        </w:tc>
      </w:tr>
      <w:tr>
        <w:trPr>
          <w:cantSplit/>
        </w:trPr>
        <w:tc>
          <w:tcPr>
            <w:tcW w:type="dxa" w:w="648"/>
            <w:vAlign w:val="center"/>
            <w:shd w:fill="F0F3ED"/>
          </w:tcPr>
          <w:p>
            <w:pPr>
              <w:spacing w:after="0" w:before="0"/>
            </w:pPr>
            <w:r/>
            <w:r>
              <w:rPr>
                <w:rFonts w:ascii="Aptos" w:hAnsi="Aptos"/>
                <w:b w:val="0"/>
                <w:color w:val="172D2A"/>
                <w:sz w:val="16"/>
              </w:rPr>
              <w:t>06</w:t>
            </w:r>
          </w:p>
        </w:tc>
        <w:tc>
          <w:tcPr>
            <w:tcW w:type="dxa" w:w="4536"/>
            <w:vAlign w:val="center"/>
            <w:shd w:fill="F0F3ED"/>
          </w:tcPr>
          <w:p>
            <w:pPr>
              <w:spacing w:after="0" w:before="0"/>
            </w:pPr>
            <w:r/>
            <w:r>
              <w:rPr>
                <w:rFonts w:ascii="Aptos" w:hAnsi="Aptos"/>
                <w:b w:val="0"/>
                <w:color w:val="172D2A"/>
                <w:sz w:val="16"/>
              </w:rPr>
              <w:t>What is the average and median deal size, and how does it vary by industry or stage?</w:t>
            </w:r>
          </w:p>
        </w:tc>
        <w:tc>
          <w:tcPr>
            <w:tcW w:type="dxa" w:w="4248"/>
            <w:vAlign w:val="center"/>
            <w:shd w:fill="F0F3ED"/>
          </w:tcPr>
          <w:p>
            <w:pPr>
              <w:spacing w:after="0" w:before="0"/>
            </w:pPr>
            <w:r/>
            <w:r>
              <w:rPr>
                <w:rFonts w:ascii="Aptos" w:hAnsi="Aptos"/>
                <w:b w:val="0"/>
                <w:color w:val="172D2A"/>
                <w:sz w:val="16"/>
              </w:rPr>
              <w:t>Average and median of disclosed numeric amounts; segment by industry/stage with outlier context.</w:t>
            </w:r>
          </w:p>
        </w:tc>
      </w:tr>
    </w:tbl>
    <w:p>
      <w:pPr>
        <w:spacing w:after="0"/>
      </w:pPr>
    </w:p>
    <w:p>
      <w:pPr>
        <w:pStyle w:val="Heading2"/>
      </w:pPr>
      <w:r>
        <w:t>Scope boundaries</w:t>
      </w:r>
    </w:p>
    <w:p>
      <w:pPr>
        <w:pStyle w:val="ListBullet"/>
        <w:spacing w:after="60" w:line="247" w:lineRule="auto"/>
      </w:pPr>
      <w:r>
        <w:rPr>
          <w:rFonts w:ascii="Aptos" w:hAnsi="Aptos"/>
          <w:color w:val="172D2A"/>
          <w:sz w:val="19"/>
        </w:rPr>
        <w:t>Dataset period is 2 January 2015 to 13 January 2020. The supplied file contains January-only data for 2020 (7 records).</w:t>
      </w:r>
    </w:p>
    <w:p>
      <w:pPr>
        <w:pStyle w:val="ListBullet"/>
        <w:spacing w:after="60" w:line="247" w:lineRule="auto"/>
      </w:pPr>
      <w:r>
        <w:rPr>
          <w:rFonts w:ascii="Aptos" w:hAnsi="Aptos"/>
          <w:color w:val="172D2A"/>
          <w:sz w:val="19"/>
        </w:rPr>
        <w:t>The source labels Amount_USD as USD. Currency metadata was not independently verified.</w:t>
      </w:r>
    </w:p>
    <w:p>
      <w:pPr>
        <w:pStyle w:val="ListBullet"/>
        <w:spacing w:after="60" w:line="247" w:lineRule="auto"/>
      </w:pPr>
      <w:r>
        <w:rPr>
          <w:rFonts w:ascii="Aptos" w:hAnsi="Aptos"/>
          <w:color w:val="172D2A"/>
          <w:sz w:val="19"/>
        </w:rPr>
        <w:t>Findings describe the supplied dataset; they do not establish complete Indian market coverage or causal explanations for funding movements.</w:t>
      </w:r>
    </w:p>
    <w:p>
      <w:r>
        <w:br w:type="page"/>
      </w:r>
    </w:p>
    <w:p>
      <w:pPr>
        <w:spacing w:after="40"/>
      </w:pPr>
      <w:r>
        <w:rPr>
          <w:rFonts w:ascii="Aptos" w:hAnsi="Aptos"/>
          <w:b/>
          <w:color w:val="D86A4A"/>
          <w:sz w:val="16"/>
        </w:rPr>
        <w:t>03 | DATA AUDIT</w:t>
      </w:r>
    </w:p>
    <w:p>
      <w:pPr>
        <w:spacing w:after="80"/>
      </w:pPr>
      <w:r>
        <w:rPr>
          <w:rFonts w:ascii="Aptos Display" w:hAnsi="Aptos Display"/>
          <w:b/>
          <w:color w:val="183F3A"/>
          <w:sz w:val="44"/>
        </w:rPr>
        <w:t>A useful cleaned table, with material coverage and taxonomy limits</w:t>
      </w:r>
    </w:p>
    <w:p>
      <w:pPr>
        <w:spacing w:after="100" w:line="259" w:lineRule="auto"/>
      </w:pPr>
      <w:r>
        <w:rPr>
          <w:rFonts w:ascii="Aptos" w:hAnsi="Aptos"/>
          <w:i w:val="0"/>
          <w:color w:val="66736D"/>
          <w:sz w:val="20"/>
        </w:rPr>
        <w:t>The supplied cleaned CSV contains 3,044 records and 12 columns. Category placeholders are filled, but missing funding amounts remain null by design.</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304"/>
            <w:vAlign w:val="center"/>
            <w:shd w:fill="183F3A"/>
          </w:tcPr>
          <w:p>
            <w:pPr>
              <w:spacing w:after="0" w:before="0"/>
            </w:pPr>
            <w:r/>
            <w:r>
              <w:rPr>
                <w:rFonts w:ascii="Aptos" w:hAnsi="Aptos"/>
                <w:b/>
                <w:color w:val="FFFFFF"/>
                <w:sz w:val="16"/>
              </w:rPr>
              <w:t>Audit item</w:t>
            </w:r>
          </w:p>
        </w:tc>
        <w:tc>
          <w:tcPr>
            <w:tcW w:type="dxa" w:w="2520"/>
            <w:vAlign w:val="center"/>
            <w:shd w:fill="183F3A"/>
          </w:tcPr>
          <w:p>
            <w:pPr>
              <w:spacing w:after="0" w:before="0"/>
            </w:pPr>
            <w:r/>
            <w:r>
              <w:rPr>
                <w:rFonts w:ascii="Aptos" w:hAnsi="Aptos"/>
                <w:b/>
                <w:color w:val="FFFFFF"/>
                <w:sz w:val="16"/>
              </w:rPr>
              <w:t>Recalculated result</w:t>
            </w:r>
          </w:p>
        </w:tc>
        <w:tc>
          <w:tcPr>
            <w:tcW w:type="dxa" w:w="4608"/>
            <w:vAlign w:val="center"/>
            <w:shd w:fill="183F3A"/>
          </w:tcPr>
          <w:p>
            <w:pPr>
              <w:spacing w:after="0" w:before="0"/>
            </w:pPr>
            <w:r/>
            <w:r>
              <w:rPr>
                <w:rFonts w:ascii="Aptos" w:hAnsi="Aptos"/>
                <w:b/>
                <w:color w:val="FFFFFF"/>
                <w:sz w:val="16"/>
              </w:rPr>
              <w:t>Status / implication</w:t>
            </w:r>
          </w:p>
        </w:tc>
      </w:tr>
      <w:tr>
        <w:trPr>
          <w:cantSplit/>
        </w:trPr>
        <w:tc>
          <w:tcPr>
            <w:tcW w:type="dxa" w:w="2304"/>
            <w:vAlign w:val="center"/>
          </w:tcPr>
          <w:p>
            <w:pPr>
              <w:spacing w:after="0" w:before="0"/>
            </w:pPr>
            <w:r/>
            <w:r>
              <w:rPr>
                <w:rFonts w:ascii="Aptos" w:hAnsi="Aptos"/>
                <w:b w:val="0"/>
                <w:color w:val="172D2A"/>
                <w:sz w:val="16"/>
              </w:rPr>
              <w:t>Rows / columns</w:t>
            </w:r>
          </w:p>
        </w:tc>
        <w:tc>
          <w:tcPr>
            <w:tcW w:type="dxa" w:w="2520"/>
            <w:vAlign w:val="center"/>
          </w:tcPr>
          <w:p>
            <w:pPr>
              <w:spacing w:after="0" w:before="0"/>
            </w:pPr>
            <w:r/>
            <w:r>
              <w:rPr>
                <w:rFonts w:ascii="Aptos" w:hAnsi="Aptos"/>
                <w:b w:val="0"/>
                <w:color w:val="172D2A"/>
                <w:sz w:val="16"/>
              </w:rPr>
              <w:t>3,044 / 12</w:t>
            </w:r>
          </w:p>
        </w:tc>
        <w:tc>
          <w:tcPr>
            <w:tcW w:type="dxa" w:w="4608"/>
            <w:vAlign w:val="center"/>
          </w:tcPr>
          <w:p>
            <w:pPr>
              <w:spacing w:after="0" w:before="0"/>
            </w:pPr>
            <w:r/>
            <w:r>
              <w:rPr>
                <w:rFonts w:ascii="Aptos" w:hAnsi="Aptos"/>
                <w:b w:val="0"/>
                <w:color w:val="172D2A"/>
                <w:sz w:val="16"/>
              </w:rPr>
              <w:t>Reconciled directly to CSV.</w:t>
            </w:r>
          </w:p>
        </w:tc>
      </w:tr>
      <w:tr>
        <w:trPr>
          <w:cantSplit/>
        </w:trPr>
        <w:tc>
          <w:tcPr>
            <w:tcW w:type="dxa" w:w="2304"/>
            <w:vAlign w:val="center"/>
            <w:shd w:fill="F0F3ED"/>
          </w:tcPr>
          <w:p>
            <w:pPr>
              <w:spacing w:after="0" w:before="0"/>
            </w:pPr>
            <w:r/>
            <w:r>
              <w:rPr>
                <w:rFonts w:ascii="Aptos" w:hAnsi="Aptos"/>
                <w:b w:val="0"/>
                <w:color w:val="172D2A"/>
                <w:sz w:val="16"/>
              </w:rPr>
              <w:t>Date range</w:t>
            </w:r>
          </w:p>
        </w:tc>
        <w:tc>
          <w:tcPr>
            <w:tcW w:type="dxa" w:w="2520"/>
            <w:vAlign w:val="center"/>
            <w:shd w:fill="F0F3ED"/>
          </w:tcPr>
          <w:p>
            <w:pPr>
              <w:spacing w:after="0" w:before="0"/>
            </w:pPr>
            <w:r/>
            <w:r>
              <w:rPr>
                <w:rFonts w:ascii="Aptos" w:hAnsi="Aptos"/>
                <w:b w:val="0"/>
                <w:color w:val="172D2A"/>
                <w:sz w:val="16"/>
              </w:rPr>
              <w:t>2015-01-02 to 2020-01-13</w:t>
            </w:r>
          </w:p>
        </w:tc>
        <w:tc>
          <w:tcPr>
            <w:tcW w:type="dxa" w:w="4608"/>
            <w:vAlign w:val="center"/>
            <w:shd w:fill="F0F3ED"/>
          </w:tcPr>
          <w:p>
            <w:pPr>
              <w:spacing w:after="0" w:before="0"/>
            </w:pPr>
            <w:r/>
            <w:r>
              <w:rPr>
                <w:rFonts w:ascii="Aptos" w:hAnsi="Aptos"/>
                <w:b w:val="0"/>
                <w:color w:val="172D2A"/>
                <w:sz w:val="16"/>
              </w:rPr>
              <w:t>2020 contains only seven records, all in January.</w:t>
            </w:r>
          </w:p>
        </w:tc>
      </w:tr>
      <w:tr>
        <w:trPr>
          <w:cantSplit/>
        </w:trPr>
        <w:tc>
          <w:tcPr>
            <w:tcW w:type="dxa" w:w="2304"/>
            <w:vAlign w:val="center"/>
          </w:tcPr>
          <w:p>
            <w:pPr>
              <w:spacing w:after="0" w:before="0"/>
            </w:pPr>
            <w:r/>
            <w:r>
              <w:rPr>
                <w:rFonts w:ascii="Aptos" w:hAnsi="Aptos"/>
                <w:b w:val="0"/>
                <w:color w:val="172D2A"/>
                <w:sz w:val="16"/>
              </w:rPr>
              <w:t>Numeric funding amount</w:t>
            </w:r>
          </w:p>
        </w:tc>
        <w:tc>
          <w:tcPr>
            <w:tcW w:type="dxa" w:w="2520"/>
            <w:vAlign w:val="center"/>
          </w:tcPr>
          <w:p>
            <w:pPr>
              <w:spacing w:after="0" w:before="0"/>
            </w:pPr>
            <w:r/>
            <w:r>
              <w:rPr>
                <w:rFonts w:ascii="Aptos" w:hAnsi="Aptos"/>
                <w:b w:val="0"/>
                <w:color w:val="172D2A"/>
                <w:sz w:val="16"/>
              </w:rPr>
              <w:t>2,073 disclosed; 971 missing (31.9%)</w:t>
            </w:r>
          </w:p>
        </w:tc>
        <w:tc>
          <w:tcPr>
            <w:tcW w:type="dxa" w:w="4608"/>
            <w:vAlign w:val="center"/>
          </w:tcPr>
          <w:p>
            <w:pPr>
              <w:spacing w:after="0" w:before="0"/>
            </w:pPr>
            <w:r/>
            <w:r>
              <w:rPr>
                <w:rFonts w:ascii="Aptos" w:hAnsi="Aptos"/>
                <w:b w:val="0"/>
                <w:color w:val="172D2A"/>
                <w:sz w:val="16"/>
              </w:rPr>
              <w:t>Missing is not zero; totals and average/median use disclosed numeric amounts.</w:t>
            </w:r>
          </w:p>
        </w:tc>
      </w:tr>
      <w:tr>
        <w:trPr>
          <w:cantSplit/>
        </w:trPr>
        <w:tc>
          <w:tcPr>
            <w:tcW w:type="dxa" w:w="2304"/>
            <w:vAlign w:val="center"/>
            <w:shd w:fill="F0F3ED"/>
          </w:tcPr>
          <w:p>
            <w:pPr>
              <w:spacing w:after="0" w:before="0"/>
            </w:pPr>
            <w:r/>
            <w:r>
              <w:rPr>
                <w:rFonts w:ascii="Aptos" w:hAnsi="Aptos"/>
                <w:b w:val="0"/>
                <w:color w:val="172D2A"/>
                <w:sz w:val="16"/>
              </w:rPr>
              <w:t>Disclosed funding total</w:t>
            </w:r>
          </w:p>
        </w:tc>
        <w:tc>
          <w:tcPr>
            <w:tcW w:type="dxa" w:w="2520"/>
            <w:vAlign w:val="center"/>
            <w:shd w:fill="F0F3ED"/>
          </w:tcPr>
          <w:p>
            <w:pPr>
              <w:spacing w:after="0" w:before="0"/>
            </w:pPr>
            <w:r/>
            <w:r>
              <w:rPr>
                <w:rFonts w:ascii="Aptos" w:hAnsi="Aptos"/>
                <w:b w:val="0"/>
                <w:color w:val="172D2A"/>
                <w:sz w:val="16"/>
              </w:rPr>
              <w:t>$38.1439B</w:t>
            </w:r>
          </w:p>
        </w:tc>
        <w:tc>
          <w:tcPr>
            <w:tcW w:type="dxa" w:w="4608"/>
            <w:vAlign w:val="center"/>
            <w:shd w:fill="F0F3ED"/>
          </w:tcPr>
          <w:p>
            <w:pPr>
              <w:spacing w:after="0" w:before="0"/>
            </w:pPr>
            <w:r/>
            <w:r>
              <w:rPr>
                <w:rFonts w:ascii="Aptos" w:hAnsi="Aptos"/>
                <w:b w:val="0"/>
                <w:color w:val="172D2A"/>
                <w:sz w:val="16"/>
              </w:rPr>
              <w:t>Recalculated as sum(Amount_USD). Currency still as labeled by source.</w:t>
            </w:r>
          </w:p>
        </w:tc>
      </w:tr>
      <w:tr>
        <w:trPr>
          <w:cantSplit/>
        </w:trPr>
        <w:tc>
          <w:tcPr>
            <w:tcW w:type="dxa" w:w="2304"/>
            <w:vAlign w:val="center"/>
          </w:tcPr>
          <w:p>
            <w:pPr>
              <w:spacing w:after="0" w:before="0"/>
            </w:pPr>
            <w:r/>
            <w:r>
              <w:rPr>
                <w:rFonts w:ascii="Aptos" w:hAnsi="Aptos"/>
                <w:b w:val="0"/>
                <w:color w:val="172D2A"/>
                <w:sz w:val="16"/>
              </w:rPr>
              <w:t>Average / median</w:t>
            </w:r>
          </w:p>
        </w:tc>
        <w:tc>
          <w:tcPr>
            <w:tcW w:type="dxa" w:w="2520"/>
            <w:vAlign w:val="center"/>
          </w:tcPr>
          <w:p>
            <w:pPr>
              <w:spacing w:after="0" w:before="0"/>
            </w:pPr>
            <w:r/>
            <w:r>
              <w:rPr>
                <w:rFonts w:ascii="Aptos" w:hAnsi="Aptos"/>
                <w:b w:val="0"/>
                <w:color w:val="172D2A"/>
                <w:sz w:val="16"/>
              </w:rPr>
              <w:t>$18.40M / $1.75M</w:t>
            </w:r>
          </w:p>
        </w:tc>
        <w:tc>
          <w:tcPr>
            <w:tcW w:type="dxa" w:w="4608"/>
            <w:vAlign w:val="center"/>
          </w:tcPr>
          <w:p>
            <w:pPr>
              <w:spacing w:after="0" w:before="0"/>
            </w:pPr>
            <w:r/>
            <w:r>
              <w:rPr>
                <w:rFonts w:ascii="Aptos" w:hAnsi="Aptos"/>
                <w:b w:val="0"/>
                <w:color w:val="172D2A"/>
                <w:sz w:val="16"/>
              </w:rPr>
              <w:t>Mean is 10.5× median; investigate outliers.</w:t>
            </w:r>
          </w:p>
        </w:tc>
      </w:tr>
      <w:tr>
        <w:trPr>
          <w:cantSplit/>
        </w:trPr>
        <w:tc>
          <w:tcPr>
            <w:tcW w:type="dxa" w:w="2304"/>
            <w:vAlign w:val="center"/>
            <w:shd w:fill="F0F3ED"/>
          </w:tcPr>
          <w:p>
            <w:pPr>
              <w:spacing w:after="0" w:before="0"/>
            </w:pPr>
            <w:r/>
            <w:r>
              <w:rPr>
                <w:rFonts w:ascii="Aptos" w:hAnsi="Aptos"/>
                <w:b w:val="0"/>
                <w:color w:val="172D2A"/>
                <w:sz w:val="16"/>
              </w:rPr>
              <w:t>Exact duplicate rows</w:t>
            </w:r>
          </w:p>
        </w:tc>
        <w:tc>
          <w:tcPr>
            <w:tcW w:type="dxa" w:w="2520"/>
            <w:vAlign w:val="center"/>
            <w:shd w:fill="F0F3ED"/>
          </w:tcPr>
          <w:p>
            <w:pPr>
              <w:spacing w:after="0" w:before="0"/>
            </w:pPr>
            <w:r/>
            <w:r>
              <w:rPr>
                <w:rFonts w:ascii="Aptos" w:hAnsi="Aptos"/>
                <w:b w:val="0"/>
                <w:color w:val="172D2A"/>
                <w:sz w:val="16"/>
              </w:rPr>
              <w:t>0</w:t>
            </w:r>
          </w:p>
        </w:tc>
        <w:tc>
          <w:tcPr>
            <w:tcW w:type="dxa" w:w="4608"/>
            <w:vAlign w:val="center"/>
            <w:shd w:fill="F0F3ED"/>
          </w:tcPr>
          <w:p>
            <w:pPr>
              <w:spacing w:after="0" w:before="0"/>
            </w:pPr>
            <w:r/>
            <w:r>
              <w:rPr>
                <w:rFonts w:ascii="Aptos" w:hAnsi="Aptos"/>
                <w:b w:val="0"/>
                <w:color w:val="172D2A"/>
                <w:sz w:val="16"/>
              </w:rPr>
              <w:t>No exact duplicates in the supplied cleaned CSV.</w:t>
            </w:r>
          </w:p>
        </w:tc>
      </w:tr>
      <w:tr>
        <w:trPr>
          <w:cantSplit/>
        </w:trPr>
        <w:tc>
          <w:tcPr>
            <w:tcW w:type="dxa" w:w="2304"/>
            <w:vAlign w:val="center"/>
          </w:tcPr>
          <w:p>
            <w:pPr>
              <w:spacing w:after="0" w:before="0"/>
            </w:pPr>
            <w:r/>
            <w:r>
              <w:rPr>
                <w:rFonts w:ascii="Aptos" w:hAnsi="Aptos"/>
                <w:b w:val="0"/>
                <w:color w:val="172D2A"/>
                <w:sz w:val="16"/>
              </w:rPr>
              <w:t>Unique startup-name strings</w:t>
            </w:r>
          </w:p>
        </w:tc>
        <w:tc>
          <w:tcPr>
            <w:tcW w:type="dxa" w:w="2520"/>
            <w:vAlign w:val="center"/>
          </w:tcPr>
          <w:p>
            <w:pPr>
              <w:spacing w:after="0" w:before="0"/>
            </w:pPr>
            <w:r/>
            <w:r>
              <w:rPr>
                <w:rFonts w:ascii="Aptos" w:hAnsi="Aptos"/>
                <w:b w:val="0"/>
                <w:color w:val="172D2A"/>
                <w:sz w:val="16"/>
              </w:rPr>
              <w:t>2,457</w:t>
            </w:r>
          </w:p>
        </w:tc>
        <w:tc>
          <w:tcPr>
            <w:tcW w:type="dxa" w:w="4608"/>
            <w:vAlign w:val="center"/>
          </w:tcPr>
          <w:p>
            <w:pPr>
              <w:spacing w:after="0" w:before="0"/>
            </w:pPr>
            <w:r/>
            <w:r>
              <w:rPr>
                <w:rFonts w:ascii="Aptos" w:hAnsi="Aptos"/>
                <w:b w:val="0"/>
                <w:color w:val="172D2A"/>
                <w:sz w:val="16"/>
              </w:rPr>
              <w:t>At least one Startup Name value is URL-like and needs review.</w:t>
            </w:r>
          </w:p>
        </w:tc>
      </w:tr>
      <w:tr>
        <w:trPr>
          <w:cantSplit/>
        </w:trPr>
        <w:tc>
          <w:tcPr>
            <w:tcW w:type="dxa" w:w="2304"/>
            <w:vAlign w:val="center"/>
            <w:shd w:fill="F0F3ED"/>
          </w:tcPr>
          <w:p>
            <w:pPr>
              <w:spacing w:after="0" w:before="0"/>
            </w:pPr>
            <w:r/>
            <w:r>
              <w:rPr>
                <w:rFonts w:ascii="Aptos" w:hAnsi="Aptos"/>
                <w:b w:val="0"/>
                <w:color w:val="172D2A"/>
                <w:sz w:val="16"/>
              </w:rPr>
              <w:t>Distinct industry labels</w:t>
            </w:r>
          </w:p>
        </w:tc>
        <w:tc>
          <w:tcPr>
            <w:tcW w:type="dxa" w:w="2520"/>
            <w:vAlign w:val="center"/>
            <w:shd w:fill="F0F3ED"/>
          </w:tcPr>
          <w:p>
            <w:pPr>
              <w:spacing w:after="0" w:before="0"/>
            </w:pPr>
            <w:r/>
            <w:r>
              <w:rPr>
                <w:rFonts w:ascii="Aptos" w:hAnsi="Aptos"/>
                <w:b w:val="0"/>
                <w:color w:val="172D2A"/>
                <w:sz w:val="16"/>
              </w:rPr>
              <w:t>822</w:t>
            </w:r>
          </w:p>
        </w:tc>
        <w:tc>
          <w:tcPr>
            <w:tcW w:type="dxa" w:w="4608"/>
            <w:vAlign w:val="center"/>
            <w:shd w:fill="F0F3ED"/>
          </w:tcPr>
          <w:p>
            <w:pPr>
              <w:spacing w:after="0" w:before="0"/>
            </w:pPr>
            <w:r/>
            <w:r>
              <w:rPr>
                <w:rFonts w:ascii="Aptos" w:hAnsi="Aptos"/>
                <w:b w:val="0"/>
                <w:color w:val="172D2A"/>
                <w:sz w:val="16"/>
              </w:rPr>
              <w:t>Long tail and near-duplicates; the sector ranking changes after taxonomy cleanup.</w:t>
            </w:r>
          </w:p>
        </w:tc>
      </w:tr>
      <w:tr>
        <w:trPr>
          <w:cantSplit/>
        </w:trPr>
        <w:tc>
          <w:tcPr>
            <w:tcW w:type="dxa" w:w="2304"/>
            <w:vAlign w:val="center"/>
          </w:tcPr>
          <w:p>
            <w:pPr>
              <w:spacing w:after="0" w:before="0"/>
            </w:pPr>
            <w:r/>
            <w:r>
              <w:rPr>
                <w:rFonts w:ascii="Aptos" w:hAnsi="Aptos"/>
                <w:b w:val="0"/>
                <w:color w:val="172D2A"/>
                <w:sz w:val="16"/>
              </w:rPr>
              <w:t>Distinct city labels</w:t>
            </w:r>
          </w:p>
        </w:tc>
        <w:tc>
          <w:tcPr>
            <w:tcW w:type="dxa" w:w="2520"/>
            <w:vAlign w:val="center"/>
          </w:tcPr>
          <w:p>
            <w:pPr>
              <w:spacing w:after="0" w:before="0"/>
            </w:pPr>
            <w:r/>
            <w:r>
              <w:rPr>
                <w:rFonts w:ascii="Aptos" w:hAnsi="Aptos"/>
                <w:b w:val="0"/>
                <w:color w:val="172D2A"/>
                <w:sz w:val="16"/>
              </w:rPr>
              <w:t>73</w:t>
            </w:r>
          </w:p>
        </w:tc>
        <w:tc>
          <w:tcPr>
            <w:tcW w:type="dxa" w:w="4608"/>
            <w:vAlign w:val="center"/>
          </w:tcPr>
          <w:p>
            <w:pPr>
              <w:spacing w:after="0" w:before="0"/>
            </w:pPr>
            <w:r/>
            <w:r>
              <w:rPr>
                <w:rFonts w:ascii="Aptos" w:hAnsi="Aptos"/>
                <w:b w:val="0"/>
                <w:color w:val="172D2A"/>
                <w:sz w:val="16"/>
              </w:rPr>
              <w:t>Includes Unknown, country/state values, and foreign locations; screenshot City Count is not reconciled to this raw-label count.</w:t>
            </w:r>
          </w:p>
        </w:tc>
      </w:tr>
      <w:tr>
        <w:trPr>
          <w:cantSplit/>
        </w:trPr>
        <w:tc>
          <w:tcPr>
            <w:tcW w:type="dxa" w:w="2304"/>
            <w:vAlign w:val="center"/>
            <w:shd w:fill="F0F3ED"/>
          </w:tcPr>
          <w:p>
            <w:pPr>
              <w:spacing w:after="0" w:before="0"/>
            </w:pPr>
            <w:r/>
            <w:r>
              <w:rPr>
                <w:rFonts w:ascii="Aptos" w:hAnsi="Aptos"/>
                <w:b w:val="0"/>
                <w:color w:val="172D2A"/>
                <w:sz w:val="16"/>
              </w:rPr>
              <w:t>Distinct investor strings</w:t>
            </w:r>
          </w:p>
        </w:tc>
        <w:tc>
          <w:tcPr>
            <w:tcW w:type="dxa" w:w="2520"/>
            <w:vAlign w:val="center"/>
            <w:shd w:fill="F0F3ED"/>
          </w:tcPr>
          <w:p>
            <w:pPr>
              <w:spacing w:after="0" w:before="0"/>
            </w:pPr>
            <w:r/>
            <w:r>
              <w:rPr>
                <w:rFonts w:ascii="Aptos" w:hAnsi="Aptos"/>
                <w:b w:val="0"/>
                <w:color w:val="172D2A"/>
                <w:sz w:val="16"/>
              </w:rPr>
              <w:t>2,364</w:t>
            </w:r>
          </w:p>
        </w:tc>
        <w:tc>
          <w:tcPr>
            <w:tcW w:type="dxa" w:w="4608"/>
            <w:vAlign w:val="center"/>
            <w:shd w:fill="F0F3ED"/>
          </w:tcPr>
          <w:p>
            <w:pPr>
              <w:spacing w:after="0" w:before="0"/>
            </w:pPr>
            <w:r/>
            <w:r>
              <w:rPr>
                <w:rFonts w:ascii="Aptos" w:hAnsi="Aptos"/>
                <w:b w:val="0"/>
                <w:color w:val="172D2A"/>
                <w:sz w:val="16"/>
              </w:rPr>
              <w:t>Not equivalent to individual investors; some cells contain multiple names.</w:t>
            </w:r>
          </w:p>
        </w:tc>
      </w:tr>
    </w:tbl>
    <w:p>
      <w:pPr>
        <w:spacing w:after="0"/>
      </w:pPr>
    </w:p>
    <w:p>
      <w:pPr>
        <w:spacing w:after="40"/>
        <w:jc w:val="center"/>
      </w:pPr>
      <w:r>
        <w:drawing>
          <wp:inline xmlns:a="http://schemas.openxmlformats.org/drawingml/2006/main" xmlns:pic="http://schemas.openxmlformats.org/drawingml/2006/picture">
            <wp:extent cx="5760720" cy="2283304"/>
            <wp:docPr id="1" name="Picture 1"/>
            <wp:cNvGraphicFramePr>
              <a:graphicFrameLocks noChangeAspect="1"/>
            </wp:cNvGraphicFramePr>
            <a:graphic>
              <a:graphicData uri="http://schemas.openxmlformats.org/drawingml/2006/picture">
                <pic:pic>
                  <pic:nvPicPr>
                    <pic:cNvPr id="0" name="disclosure_by_year.png"/>
                    <pic:cNvPicPr/>
                  </pic:nvPicPr>
                  <pic:blipFill>
                    <a:blip r:embed="rId11"/>
                    <a:stretch>
                      <a:fillRect/>
                    </a:stretch>
                  </pic:blipFill>
                  <pic:spPr>
                    <a:xfrm>
                      <a:off x="0" y="0"/>
                      <a:ext cx="5760720" cy="2283304"/>
                    </a:xfrm>
                    <a:prstGeom prst="rect"/>
                  </pic:spPr>
                </pic:pic>
              </a:graphicData>
            </a:graphic>
          </wp:inline>
        </w:drawing>
      </w:r>
    </w:p>
    <w:p>
      <w:pPr>
        <w:spacing w:after="120"/>
        <w:jc w:val="center"/>
      </w:pPr>
      <w:r>
        <w:rPr>
          <w:rFonts w:ascii="Aptos" w:hAnsi="Aptos"/>
          <w:i/>
          <w:color w:val="66736D"/>
          <w:sz w:val="16"/>
        </w:rPr>
        <w:t>Disclosure rate = records with numeric Amount_USD / all records. The 2020 value is based on only seven January records.</w:t>
      </w:r>
    </w:p>
    <w:p>
      <w:pPr>
        <w:spacing w:after="100" w:line="259" w:lineRule="auto"/>
      </w:pPr>
      <w:r>
        <w:rPr>
          <w:rFonts w:ascii="Aptos" w:hAnsi="Aptos"/>
          <w:i w:val="0"/>
          <w:color w:val="66736D"/>
          <w:sz w:val="18"/>
        </w:rPr>
        <w:t>Cleaning notebook review: it describes repair of eight malformed date strings, amount parsing, city standardization, funding-type standardization, investor casing/alias normalization, replacement of missing categorical values with “Unknown”, and removal of 0 exact duplicates. The notebook’s stored outputs report 0 unparseable dates. The raw source CSV referenced by the notebook was not supplied, so those before/after steps could not be re-executed independently.</w:t>
      </w:r>
    </w:p>
    <w:p>
      <w:r>
        <w:br w:type="page"/>
      </w:r>
    </w:p>
    <w:p>
      <w:pPr>
        <w:spacing w:after="40"/>
      </w:pPr>
      <w:r>
        <w:rPr>
          <w:rFonts w:ascii="Aptos" w:hAnsi="Aptos"/>
          <w:b/>
          <w:color w:val="D86A4A"/>
          <w:sz w:val="16"/>
        </w:rPr>
        <w:t>04 | METHOD AND CONTROLS</w:t>
      </w:r>
    </w:p>
    <w:p>
      <w:pPr>
        <w:spacing w:after="80"/>
      </w:pPr>
      <w:r>
        <w:rPr>
          <w:rFonts w:ascii="Aptos Display" w:hAnsi="Aptos Display"/>
          <w:b/>
          <w:color w:val="183F3A"/>
          <w:sz w:val="44"/>
        </w:rPr>
        <w:t>Calculation rules and technical validation</w:t>
      </w:r>
    </w:p>
    <w:p>
      <w:pPr>
        <w:spacing w:after="100" w:line="259" w:lineRule="auto"/>
      </w:pPr>
      <w:r>
        <w:rPr>
          <w:rFonts w:ascii="Aptos" w:hAnsi="Aptos"/>
          <w:i w:val="0"/>
          <w:color w:val="66736D"/>
          <w:sz w:val="20"/>
        </w:rPr>
        <w:t>The cleaned CSV was loaded independently and core metrics were recalculated. SQL and Power BI execution are marked as untested where a runtime was not supplied.</w:t>
      </w:r>
    </w:p>
    <w:p>
      <w:pPr>
        <w:pStyle w:val="Heading2"/>
      </w:pPr>
      <w:r>
        <w:t>Calculation definitions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160"/>
            <w:vAlign w:val="center"/>
            <w:shd w:fill="183F3A"/>
          </w:tcPr>
          <w:p>
            <w:pPr>
              <w:spacing w:after="0" w:before="0"/>
            </w:pPr>
            <w:r/>
            <w:r>
              <w:rPr>
                <w:rFonts w:ascii="Aptos" w:hAnsi="Aptos"/>
                <w:b/>
                <w:color w:val="FFFFFF"/>
                <w:sz w:val="16"/>
              </w:rPr>
              <w:t>Metric</w:t>
            </w:r>
          </w:p>
        </w:tc>
        <w:tc>
          <w:tcPr>
            <w:tcW w:type="dxa" w:w="3384"/>
            <w:vAlign w:val="center"/>
            <w:shd w:fill="183F3A"/>
          </w:tcPr>
          <w:p>
            <w:pPr>
              <w:spacing w:after="0" w:before="0"/>
            </w:pPr>
            <w:r/>
            <w:r>
              <w:rPr>
                <w:rFonts w:ascii="Aptos" w:hAnsi="Aptos"/>
                <w:b/>
                <w:color w:val="FFFFFF"/>
                <w:sz w:val="16"/>
              </w:rPr>
              <w:t>Definition used in this report</w:t>
            </w:r>
          </w:p>
        </w:tc>
        <w:tc>
          <w:tcPr>
            <w:tcW w:type="dxa" w:w="3888"/>
            <w:vAlign w:val="center"/>
            <w:shd w:fill="183F3A"/>
          </w:tcPr>
          <w:p>
            <w:pPr>
              <w:spacing w:after="0" w:before="0"/>
            </w:pPr>
            <w:r/>
            <w:r>
              <w:rPr>
                <w:rFonts w:ascii="Aptos" w:hAnsi="Aptos"/>
                <w:b/>
                <w:color w:val="FFFFFF"/>
                <w:sz w:val="16"/>
              </w:rPr>
              <w:t>Important interpretation</w:t>
            </w:r>
          </w:p>
        </w:tc>
      </w:tr>
      <w:tr>
        <w:trPr>
          <w:cantSplit/>
        </w:trPr>
        <w:tc>
          <w:tcPr>
            <w:tcW w:type="dxa" w:w="2160"/>
            <w:vAlign w:val="center"/>
          </w:tcPr>
          <w:p>
            <w:pPr>
              <w:spacing w:after="0" w:before="0"/>
            </w:pPr>
            <w:r/>
            <w:r>
              <w:rPr>
                <w:rFonts w:ascii="Aptos" w:hAnsi="Aptos"/>
                <w:b w:val="0"/>
                <w:color w:val="172D2A"/>
                <w:sz w:val="16"/>
              </w:rPr>
              <w:t>Deal records</w:t>
            </w:r>
          </w:p>
        </w:tc>
        <w:tc>
          <w:tcPr>
            <w:tcW w:type="dxa" w:w="3384"/>
            <w:vAlign w:val="center"/>
          </w:tcPr>
          <w:p>
            <w:pPr>
              <w:spacing w:after="0" w:before="0"/>
            </w:pPr>
            <w:r/>
            <w:r>
              <w:rPr>
                <w:rFonts w:ascii="Aptos" w:hAnsi="Aptos"/>
                <w:b w:val="0"/>
                <w:color w:val="172D2A"/>
                <w:sz w:val="16"/>
              </w:rPr>
              <w:t>COUNT(rows) = 3,044</w:t>
            </w:r>
          </w:p>
        </w:tc>
        <w:tc>
          <w:tcPr>
            <w:tcW w:type="dxa" w:w="3888"/>
            <w:vAlign w:val="center"/>
          </w:tcPr>
          <w:p>
            <w:pPr>
              <w:spacing w:after="0" w:before="0"/>
            </w:pPr>
            <w:r/>
            <w:r>
              <w:rPr>
                <w:rFonts w:ascii="Aptos" w:hAnsi="Aptos"/>
                <w:b w:val="0"/>
                <w:color w:val="172D2A"/>
                <w:sz w:val="16"/>
              </w:rPr>
              <w:t>Includes records whose funding amount is undisclosed.</w:t>
            </w:r>
          </w:p>
        </w:tc>
      </w:tr>
      <w:tr>
        <w:trPr>
          <w:cantSplit/>
        </w:trPr>
        <w:tc>
          <w:tcPr>
            <w:tcW w:type="dxa" w:w="2160"/>
            <w:vAlign w:val="center"/>
            <w:shd w:fill="F0F3ED"/>
          </w:tcPr>
          <w:p>
            <w:pPr>
              <w:spacing w:after="0" w:before="0"/>
            </w:pPr>
            <w:r/>
            <w:r>
              <w:rPr>
                <w:rFonts w:ascii="Aptos" w:hAnsi="Aptos"/>
                <w:b w:val="0"/>
                <w:color w:val="172D2A"/>
                <w:sz w:val="16"/>
              </w:rPr>
              <w:t>Disclosed deal records</w:t>
            </w:r>
          </w:p>
        </w:tc>
        <w:tc>
          <w:tcPr>
            <w:tcW w:type="dxa" w:w="3384"/>
            <w:vAlign w:val="center"/>
            <w:shd w:fill="F0F3ED"/>
          </w:tcPr>
          <w:p>
            <w:pPr>
              <w:spacing w:after="0" w:before="0"/>
            </w:pPr>
            <w:r/>
            <w:r>
              <w:rPr>
                <w:rFonts w:ascii="Aptos" w:hAnsi="Aptos"/>
                <w:b w:val="0"/>
                <w:color w:val="172D2A"/>
                <w:sz w:val="16"/>
              </w:rPr>
              <w:t>COUNT(Amount_USD) = 2,073</w:t>
            </w:r>
          </w:p>
        </w:tc>
        <w:tc>
          <w:tcPr>
            <w:tcW w:type="dxa" w:w="3888"/>
            <w:vAlign w:val="center"/>
            <w:shd w:fill="F0F3ED"/>
          </w:tcPr>
          <w:p>
            <w:pPr>
              <w:spacing w:after="0" w:before="0"/>
            </w:pPr>
            <w:r/>
            <w:r>
              <w:rPr>
                <w:rFonts w:ascii="Aptos" w:hAnsi="Aptos"/>
                <w:b w:val="0"/>
                <w:color w:val="172D2A"/>
                <w:sz w:val="16"/>
              </w:rPr>
              <w:t>Counts numeric amount values, excluding nulls.</w:t>
            </w:r>
          </w:p>
        </w:tc>
      </w:tr>
      <w:tr>
        <w:trPr>
          <w:cantSplit/>
        </w:trPr>
        <w:tc>
          <w:tcPr>
            <w:tcW w:type="dxa" w:w="2160"/>
            <w:vAlign w:val="center"/>
          </w:tcPr>
          <w:p>
            <w:pPr>
              <w:spacing w:after="0" w:before="0"/>
            </w:pPr>
            <w:r/>
            <w:r>
              <w:rPr>
                <w:rFonts w:ascii="Aptos" w:hAnsi="Aptos"/>
                <w:b w:val="0"/>
                <w:color w:val="172D2A"/>
                <w:sz w:val="16"/>
              </w:rPr>
              <w:t>Total disclosed funding</w:t>
            </w:r>
          </w:p>
        </w:tc>
        <w:tc>
          <w:tcPr>
            <w:tcW w:type="dxa" w:w="3384"/>
            <w:vAlign w:val="center"/>
          </w:tcPr>
          <w:p>
            <w:pPr>
              <w:spacing w:after="0" w:before="0"/>
            </w:pPr>
            <w:r/>
            <w:r>
              <w:rPr>
                <w:rFonts w:ascii="Aptos" w:hAnsi="Aptos"/>
                <w:b w:val="0"/>
                <w:color w:val="172D2A"/>
                <w:sz w:val="16"/>
              </w:rPr>
              <w:t>SUM(Amount_USD) = $38.1439B</w:t>
            </w:r>
          </w:p>
        </w:tc>
        <w:tc>
          <w:tcPr>
            <w:tcW w:type="dxa" w:w="3888"/>
            <w:vAlign w:val="center"/>
          </w:tcPr>
          <w:p>
            <w:pPr>
              <w:spacing w:after="0" w:before="0"/>
            </w:pPr>
            <w:r/>
            <w:r>
              <w:rPr>
                <w:rFonts w:ascii="Aptos" w:hAnsi="Aptos"/>
                <w:b w:val="0"/>
                <w:color w:val="172D2A"/>
                <w:sz w:val="16"/>
              </w:rPr>
              <w:t>Does not estimate missing/undisclosed capital.</w:t>
            </w:r>
          </w:p>
        </w:tc>
      </w:tr>
      <w:tr>
        <w:trPr>
          <w:cantSplit/>
        </w:trPr>
        <w:tc>
          <w:tcPr>
            <w:tcW w:type="dxa" w:w="2160"/>
            <w:vAlign w:val="center"/>
            <w:shd w:fill="F0F3ED"/>
          </w:tcPr>
          <w:p>
            <w:pPr>
              <w:spacing w:after="0" w:before="0"/>
            </w:pPr>
            <w:r/>
            <w:r>
              <w:rPr>
                <w:rFonts w:ascii="Aptos" w:hAnsi="Aptos"/>
                <w:b w:val="0"/>
                <w:color w:val="172D2A"/>
                <w:sz w:val="16"/>
              </w:rPr>
              <w:t>Average disclosed deal size</w:t>
            </w:r>
          </w:p>
        </w:tc>
        <w:tc>
          <w:tcPr>
            <w:tcW w:type="dxa" w:w="3384"/>
            <w:vAlign w:val="center"/>
            <w:shd w:fill="F0F3ED"/>
          </w:tcPr>
          <w:p>
            <w:pPr>
              <w:spacing w:after="0" w:before="0"/>
            </w:pPr>
            <w:r/>
            <w:r>
              <w:rPr>
                <w:rFonts w:ascii="Aptos" w:hAnsi="Aptos"/>
                <w:b w:val="0"/>
                <w:color w:val="172D2A"/>
                <w:sz w:val="16"/>
              </w:rPr>
              <w:t>AVERAGE(Amount_USD) = $18.40M</w:t>
            </w:r>
          </w:p>
        </w:tc>
        <w:tc>
          <w:tcPr>
            <w:tcW w:type="dxa" w:w="3888"/>
            <w:vAlign w:val="center"/>
            <w:shd w:fill="F0F3ED"/>
          </w:tcPr>
          <w:p>
            <w:pPr>
              <w:spacing w:after="0" w:before="0"/>
            </w:pPr>
            <w:r/>
            <w:r>
              <w:rPr>
                <w:rFonts w:ascii="Aptos" w:hAnsi="Aptos"/>
                <w:b w:val="0"/>
                <w:color w:val="172D2A"/>
                <w:sz w:val="16"/>
              </w:rPr>
              <w:t>Sensitive to very large recorded rounds.</w:t>
            </w:r>
          </w:p>
        </w:tc>
      </w:tr>
      <w:tr>
        <w:trPr>
          <w:cantSplit/>
        </w:trPr>
        <w:tc>
          <w:tcPr>
            <w:tcW w:type="dxa" w:w="2160"/>
            <w:vAlign w:val="center"/>
          </w:tcPr>
          <w:p>
            <w:pPr>
              <w:spacing w:after="0" w:before="0"/>
            </w:pPr>
            <w:r/>
            <w:r>
              <w:rPr>
                <w:rFonts w:ascii="Aptos" w:hAnsi="Aptos"/>
                <w:b w:val="0"/>
                <w:color w:val="172D2A"/>
                <w:sz w:val="16"/>
              </w:rPr>
              <w:t>Median disclosed deal size</w:t>
            </w:r>
          </w:p>
        </w:tc>
        <w:tc>
          <w:tcPr>
            <w:tcW w:type="dxa" w:w="3384"/>
            <w:vAlign w:val="center"/>
          </w:tcPr>
          <w:p>
            <w:pPr>
              <w:spacing w:after="0" w:before="0"/>
            </w:pPr>
            <w:r/>
            <w:r>
              <w:rPr>
                <w:rFonts w:ascii="Aptos" w:hAnsi="Aptos"/>
                <w:b w:val="0"/>
                <w:color w:val="172D2A"/>
                <w:sz w:val="16"/>
              </w:rPr>
              <w:t>MEDIAN(Amount_USD) = $1.75M</w:t>
            </w:r>
          </w:p>
        </w:tc>
        <w:tc>
          <w:tcPr>
            <w:tcW w:type="dxa" w:w="3888"/>
            <w:vAlign w:val="center"/>
          </w:tcPr>
          <w:p>
            <w:pPr>
              <w:spacing w:after="0" w:before="0"/>
            </w:pPr>
            <w:r/>
            <w:r>
              <w:rPr>
                <w:rFonts w:ascii="Aptos" w:hAnsi="Aptos"/>
                <w:b w:val="0"/>
                <w:color w:val="172D2A"/>
                <w:sz w:val="16"/>
              </w:rPr>
              <w:t>Better represents the central disclosed deal than the mean in this skewed distribution.</w:t>
            </w:r>
          </w:p>
        </w:tc>
      </w:tr>
      <w:tr>
        <w:trPr>
          <w:cantSplit/>
        </w:trPr>
        <w:tc>
          <w:tcPr>
            <w:tcW w:type="dxa" w:w="2160"/>
            <w:vAlign w:val="center"/>
            <w:shd w:fill="F0F3ED"/>
          </w:tcPr>
          <w:p>
            <w:pPr>
              <w:spacing w:after="0" w:before="0"/>
            </w:pPr>
            <w:r/>
            <w:r>
              <w:rPr>
                <w:rFonts w:ascii="Aptos" w:hAnsi="Aptos"/>
                <w:b w:val="0"/>
                <w:color w:val="172D2A"/>
                <w:sz w:val="16"/>
              </w:rPr>
              <w:t>Funding disclosure rate</w:t>
            </w:r>
          </w:p>
        </w:tc>
        <w:tc>
          <w:tcPr>
            <w:tcW w:type="dxa" w:w="3384"/>
            <w:vAlign w:val="center"/>
            <w:shd w:fill="F0F3ED"/>
          </w:tcPr>
          <w:p>
            <w:pPr>
              <w:spacing w:after="0" w:before="0"/>
            </w:pPr>
            <w:r/>
            <w:r>
              <w:rPr>
                <w:rFonts w:ascii="Aptos" w:hAnsi="Aptos"/>
                <w:b w:val="0"/>
                <w:color w:val="172D2A"/>
                <w:sz w:val="16"/>
              </w:rPr>
              <w:t>2,073 / 3,044 = 68.1%</w:t>
            </w:r>
          </w:p>
        </w:tc>
        <w:tc>
          <w:tcPr>
            <w:tcW w:type="dxa" w:w="3888"/>
            <w:vAlign w:val="center"/>
            <w:shd w:fill="F0F3ED"/>
          </w:tcPr>
          <w:p>
            <w:pPr>
              <w:spacing w:after="0" w:before="0"/>
            </w:pPr>
            <w:r/>
            <w:r>
              <w:rPr>
                <w:rFonts w:ascii="Aptos" w:hAnsi="Aptos"/>
                <w:b w:val="0"/>
                <w:color w:val="172D2A"/>
                <w:sz w:val="16"/>
              </w:rPr>
              <w:t>A data-coverage KPI, not a funding success rate.</w:t>
            </w:r>
          </w:p>
        </w:tc>
      </w:tr>
      <w:tr>
        <w:trPr>
          <w:cantSplit/>
        </w:trPr>
        <w:tc>
          <w:tcPr>
            <w:tcW w:type="dxa" w:w="2160"/>
            <w:vAlign w:val="center"/>
          </w:tcPr>
          <w:p>
            <w:pPr>
              <w:spacing w:after="0" w:before="0"/>
            </w:pPr>
            <w:r/>
            <w:r>
              <w:rPr>
                <w:rFonts w:ascii="Aptos" w:hAnsi="Aptos"/>
                <w:b w:val="0"/>
                <w:color w:val="172D2A"/>
                <w:sz w:val="16"/>
              </w:rPr>
              <w:t>City concentration</w:t>
            </w:r>
          </w:p>
        </w:tc>
        <w:tc>
          <w:tcPr>
            <w:tcW w:type="dxa" w:w="3384"/>
            <w:vAlign w:val="center"/>
          </w:tcPr>
          <w:p>
            <w:pPr>
              <w:spacing w:after="0" w:before="0"/>
            </w:pPr>
            <w:r/>
            <w:r>
              <w:rPr>
                <w:rFonts w:ascii="Aptos" w:hAnsi="Aptos"/>
                <w:b w:val="0"/>
                <w:color w:val="172D2A"/>
                <w:sz w:val="16"/>
              </w:rPr>
              <w:t>Top five exact cleaned city labels / total funding = 83.95%</w:t>
            </w:r>
          </w:p>
        </w:tc>
        <w:tc>
          <w:tcPr>
            <w:tcW w:type="dxa" w:w="3888"/>
            <w:vAlign w:val="center"/>
          </w:tcPr>
          <w:p>
            <w:pPr>
              <w:spacing w:after="0" w:before="0"/>
            </w:pPr>
            <w:r/>
            <w:r>
              <w:rPr>
                <w:rFonts w:ascii="Aptos" w:hAnsi="Aptos"/>
                <w:b w:val="0"/>
                <w:color w:val="172D2A"/>
                <w:sz w:val="16"/>
              </w:rPr>
              <w:t>Location mapping and geographic filtering affect the result.</w:t>
            </w:r>
          </w:p>
        </w:tc>
      </w:tr>
    </w:tbl>
    <w:p>
      <w:pPr>
        <w:spacing w:after="0"/>
      </w:pPr>
    </w:p>
    <w:p>
      <w:pPr>
        <w:pStyle w:val="Heading2"/>
      </w:pPr>
      <w:r>
        <w:t>Python notebook review</w:t>
      </w:r>
    </w:p>
    <w:p>
      <w:pPr>
        <w:pStyle w:val="ListBullet"/>
        <w:spacing w:after="60" w:line="247" w:lineRule="auto"/>
      </w:pPr>
      <w:r>
        <w:rPr>
          <w:rFonts w:ascii="Aptos" w:hAnsi="Aptos"/>
          <w:color w:val="172D2A"/>
          <w:sz w:val="19"/>
        </w:rPr>
        <w:t>Notebook structure and stored outputs were reviewed. Key cleaning steps include date repair, numeric conversion of Indian digit-grouped amount strings, category normalization, missing categorical placeholders, and duplicate checks.</w:t>
      </w:r>
    </w:p>
    <w:p>
      <w:pPr>
        <w:pStyle w:val="ListBullet"/>
        <w:spacing w:after="60" w:line="247" w:lineRule="auto"/>
      </w:pPr>
      <w:r>
        <w:rPr>
          <w:rFonts w:ascii="Aptos" w:hAnsi="Aptos"/>
          <w:color w:val="172D2A"/>
          <w:sz w:val="19"/>
        </w:rPr>
        <w:t>The notebook uses machine-specific Windows paths and reads raw_startup_funding.csv. That raw file was not included; full end-to-end notebook execution was therefore not tested. The cleaned CSV was independently analyzed in Python.</w:t>
      </w:r>
    </w:p>
    <w:p>
      <w:pPr>
        <w:pStyle w:val="Heading2"/>
      </w:pPr>
      <w:r>
        <w:t>SQL query review</w:t>
      </w:r>
    </w:p>
    <w:p>
      <w:pPr>
        <w:pStyle w:val="ListBullet"/>
        <w:spacing w:after="60" w:line="247" w:lineRule="auto"/>
      </w:pPr>
      <w:r>
        <w:rPr>
          <w:rFonts w:ascii="Aptos" w:hAnsi="Aptos"/>
          <w:color w:val="172D2A"/>
          <w:sz w:val="19"/>
        </w:rPr>
        <w:t>The SQL PDF covers yearly/monthly totals, YoY/MoM funding growth, cumulative funding, industry/city/stage breakdowns, investor-string ranks, mean/median deal size, and additional segment queries.</w:t>
      </w:r>
    </w:p>
    <w:p>
      <w:pPr>
        <w:pStyle w:val="ListBullet"/>
        <w:spacing w:after="60" w:line="247" w:lineRule="auto"/>
      </w:pPr>
      <w:r>
        <w:rPr>
          <w:rFonts w:ascii="Aptos" w:hAnsi="Aptos"/>
          <w:color w:val="172D2A"/>
          <w:sz w:val="19"/>
        </w:rPr>
        <w:t>MoM query risk: the dataset has no 2019-03 group. A LAG over existing YearMonth rows may compare 2019-04 to 2019-02 unless a complete calendar-month spine is joined and missing months are handled explicitly.</w:t>
      </w:r>
    </w:p>
    <w:p>
      <w:pPr>
        <w:pStyle w:val="ListBullet"/>
        <w:spacing w:after="60" w:line="247" w:lineRule="auto"/>
      </w:pPr>
      <w:r>
        <w:rPr>
          <w:rFonts w:ascii="Aptos" w:hAnsi="Aptos"/>
          <w:color w:val="172D2A"/>
          <w:sz w:val="19"/>
        </w:rPr>
        <w:t>Investor SQL groups by Investors_Name text. Multi-name cells are treated as a single string; this is not an individual-investor leaderboard.</w:t>
      </w:r>
    </w:p>
    <w:p>
      <w:pPr>
        <w:pStyle w:val="ListBullet"/>
        <w:spacing w:after="60" w:line="247" w:lineRule="auto"/>
      </w:pPr>
      <w:r>
        <w:rPr>
          <w:rFonts w:ascii="Aptos" w:hAnsi="Aptos"/>
          <w:color w:val="172D2A"/>
          <w:sz w:val="19"/>
        </w:rPr>
        <w:t>YoY on 2020 is not comparable to full years: it reflects only seven January records. Use a like-for-like January-to-January comparison or exclude 2020 from full-year growth.</w:t>
      </w:r>
    </w:p>
    <w:p>
      <w:pPr>
        <w:spacing w:after="100" w:line="259" w:lineRule="auto"/>
      </w:pPr>
      <w:r>
        <w:rPr>
          <w:rFonts w:ascii="Aptos" w:hAnsi="Aptos"/>
          <w:i/>
          <w:color w:val="D86A4A"/>
          <w:sz w:val="18"/>
        </w:rPr>
        <w:t>Testing status: SQL syntax/results were not executed in MySQL; DAX and visual interactions were not executed in Power BI Desktop. The three supplied Power BI screenshots were visually inspected.</w:t>
      </w:r>
    </w:p>
    <w:p>
      <w:r>
        <w:br w:type="page"/>
      </w:r>
    </w:p>
    <w:p>
      <w:pPr>
        <w:spacing w:after="40"/>
      </w:pPr>
      <w:r>
        <w:rPr>
          <w:rFonts w:ascii="Aptos" w:hAnsi="Aptos"/>
          <w:b/>
          <w:color w:val="D86A4A"/>
          <w:sz w:val="16"/>
        </w:rPr>
        <w:t>05 | FUNDING ACTIVITY</w:t>
      </w:r>
    </w:p>
    <w:p>
      <w:pPr>
        <w:spacing w:after="80"/>
      </w:pPr>
      <w:r>
        <w:rPr>
          <w:rFonts w:ascii="Aptos Display" w:hAnsi="Aptos Display"/>
          <w:b/>
          <w:color w:val="183F3A"/>
          <w:sz w:val="44"/>
        </w:rPr>
        <w:t>Recorded funding peaks in 2017; record coverage drops sharply after 2016</w:t>
      </w:r>
    </w:p>
    <w:p>
      <w:pPr>
        <w:spacing w:after="100" w:line="259" w:lineRule="auto"/>
      </w:pPr>
      <w:r>
        <w:rPr>
          <w:rFonts w:ascii="Aptos" w:hAnsi="Aptos"/>
          <w:i w:val="0"/>
          <w:color w:val="66736D"/>
          <w:sz w:val="20"/>
        </w:rPr>
        <w:t>The values below are calculated from the supplied CSV. The pattern should be described as funding recorded in this file—not a definitive market trajectory—until source coverage is established.</w:t>
      </w:r>
    </w:p>
    <w:p>
      <w:pPr>
        <w:spacing w:after="40"/>
        <w:jc w:val="center"/>
      </w:pPr>
      <w:r>
        <w:drawing>
          <wp:inline xmlns:a="http://schemas.openxmlformats.org/drawingml/2006/main" xmlns:pic="http://schemas.openxmlformats.org/drawingml/2006/picture">
            <wp:extent cx="5943600" cy="3095625"/>
            <wp:docPr id="2" name="Picture 2"/>
            <wp:cNvGraphicFramePr>
              <a:graphicFrameLocks noChangeAspect="1"/>
            </wp:cNvGraphicFramePr>
            <a:graphic>
              <a:graphicData uri="http://schemas.openxmlformats.org/drawingml/2006/picture">
                <pic:pic>
                  <pic:nvPicPr>
                    <pic:cNvPr id="0" name="annual_funding.png"/>
                    <pic:cNvPicPr/>
                  </pic:nvPicPr>
                  <pic:blipFill>
                    <a:blip r:embed="rId12"/>
                    <a:stretch>
                      <a:fillRect/>
                    </a:stretch>
                  </pic:blipFill>
                  <pic:spPr>
                    <a:xfrm>
                      <a:off x="0" y="0"/>
                      <a:ext cx="5943600" cy="3095625"/>
                    </a:xfrm>
                    <a:prstGeom prst="rect"/>
                  </pic:spPr>
                </pic:pic>
              </a:graphicData>
            </a:graphic>
          </wp:inline>
        </w:drawing>
      </w:r>
    </w:p>
    <w:p>
      <w:pPr>
        <w:spacing w:after="120"/>
        <w:jc w:val="center"/>
      </w:pPr>
      <w:r>
        <w:rPr>
          <w:rFonts w:ascii="Aptos" w:hAnsi="Aptos"/>
          <w:i/>
          <w:color w:val="66736D"/>
          <w:sz w:val="16"/>
        </w:rPr>
        <w:t>Annual sum of disclosed Amount_USD. 2020 contains January-only data and is not a full-year comparator.</w:t>
      </w:r>
    </w:p>
    <w:tbl>
      <w:tblPr>
        <w:tblStyle w:val="TableGrid"/>
        <w:tblW w:type="auto" w:w="0"/>
        <w:jc w:val="center"/>
        <w:tblLook w:firstColumn="1" w:firstRow="1" w:lastColumn="0" w:lastRow="0" w:noHBand="0" w:noVBand="1" w:val="04A0"/>
      </w:tblPr>
      <w:tblGrid>
        <w:gridCol w:w="1694"/>
        <w:gridCol w:w="1694"/>
        <w:gridCol w:w="1694"/>
        <w:gridCol w:w="1694"/>
        <w:gridCol w:w="1694"/>
        <w:gridCol w:w="1694"/>
      </w:tblGrid>
      <w:tr>
        <w:trPr>
          <w:tblHeader w:val="true"/>
        </w:trPr>
        <w:tc>
          <w:tcPr>
            <w:tcW w:type="dxa" w:w="1008"/>
            <w:vAlign w:val="center"/>
            <w:shd w:fill="183F3A"/>
          </w:tcPr>
          <w:p>
            <w:pPr>
              <w:spacing w:after="0" w:before="0"/>
            </w:pPr>
            <w:r/>
            <w:r>
              <w:rPr>
                <w:rFonts w:ascii="Aptos" w:hAnsi="Aptos"/>
                <w:b/>
                <w:color w:val="FFFFFF"/>
                <w:sz w:val="16"/>
              </w:rPr>
              <w:t>Year</w:t>
            </w:r>
          </w:p>
        </w:tc>
        <w:tc>
          <w:tcPr>
            <w:tcW w:type="dxa" w:w="1296"/>
            <w:vAlign w:val="center"/>
            <w:shd w:fill="183F3A"/>
          </w:tcPr>
          <w:p>
            <w:pPr>
              <w:spacing w:after="0" w:before="0"/>
            </w:pPr>
            <w:r/>
            <w:r>
              <w:rPr>
                <w:rFonts w:ascii="Aptos" w:hAnsi="Aptos"/>
                <w:b/>
                <w:color w:val="FFFFFF"/>
                <w:sz w:val="16"/>
              </w:rPr>
              <w:t>Records</w:t>
            </w:r>
          </w:p>
        </w:tc>
        <w:tc>
          <w:tcPr>
            <w:tcW w:type="dxa" w:w="1728"/>
            <w:vAlign w:val="center"/>
            <w:shd w:fill="183F3A"/>
          </w:tcPr>
          <w:p>
            <w:pPr>
              <w:spacing w:after="0" w:before="0"/>
            </w:pPr>
            <w:r/>
            <w:r>
              <w:rPr>
                <w:rFonts w:ascii="Aptos" w:hAnsi="Aptos"/>
                <w:b/>
                <w:color w:val="FFFFFF"/>
                <w:sz w:val="16"/>
              </w:rPr>
              <w:t>Amounts disclosed</w:t>
            </w:r>
          </w:p>
        </w:tc>
        <w:tc>
          <w:tcPr>
            <w:tcW w:type="dxa" w:w="1656"/>
            <w:vAlign w:val="center"/>
            <w:shd w:fill="183F3A"/>
          </w:tcPr>
          <w:p>
            <w:pPr>
              <w:spacing w:after="0" w:before="0"/>
            </w:pPr>
            <w:r/>
            <w:r>
              <w:rPr>
                <w:rFonts w:ascii="Aptos" w:hAnsi="Aptos"/>
                <w:b/>
                <w:color w:val="FFFFFF"/>
                <w:sz w:val="16"/>
              </w:rPr>
              <w:t>Funding total</w:t>
            </w:r>
          </w:p>
        </w:tc>
        <w:tc>
          <w:tcPr>
            <w:tcW w:type="dxa" w:w="1440"/>
            <w:vAlign w:val="center"/>
            <w:shd w:fill="183F3A"/>
          </w:tcPr>
          <w:p>
            <w:pPr>
              <w:spacing w:after="0" w:before="0"/>
            </w:pPr>
            <w:r/>
            <w:r>
              <w:rPr>
                <w:rFonts w:ascii="Aptos" w:hAnsi="Aptos"/>
                <w:b/>
                <w:color w:val="FFFFFF"/>
                <w:sz w:val="16"/>
              </w:rPr>
              <w:t>YoY change*</w:t>
            </w:r>
          </w:p>
        </w:tc>
        <w:tc>
          <w:tcPr>
            <w:tcW w:type="dxa" w:w="1584"/>
            <w:vAlign w:val="center"/>
            <w:shd w:fill="183F3A"/>
          </w:tcPr>
          <w:p>
            <w:pPr>
              <w:spacing w:after="0" w:before="0"/>
            </w:pPr>
            <w:r/>
            <w:r>
              <w:rPr>
                <w:rFonts w:ascii="Aptos" w:hAnsi="Aptos"/>
                <w:b/>
                <w:color w:val="FFFFFF"/>
                <w:sz w:val="16"/>
              </w:rPr>
              <w:t>Disclosure rate</w:t>
            </w:r>
          </w:p>
        </w:tc>
      </w:tr>
      <w:tr>
        <w:trPr>
          <w:cantSplit/>
        </w:trPr>
        <w:tc>
          <w:tcPr>
            <w:tcW w:type="dxa" w:w="1008"/>
            <w:vAlign w:val="center"/>
          </w:tcPr>
          <w:p>
            <w:pPr>
              <w:spacing w:after="0" w:before="0"/>
            </w:pPr>
            <w:r/>
            <w:r>
              <w:rPr>
                <w:rFonts w:ascii="Aptos" w:hAnsi="Aptos"/>
                <w:b w:val="0"/>
                <w:color w:val="172D2A"/>
                <w:sz w:val="16"/>
              </w:rPr>
              <w:t>2015</w:t>
            </w:r>
          </w:p>
        </w:tc>
        <w:tc>
          <w:tcPr>
            <w:tcW w:type="dxa" w:w="1296"/>
            <w:vAlign w:val="center"/>
          </w:tcPr>
          <w:p>
            <w:pPr>
              <w:spacing w:after="0" w:before="0"/>
            </w:pPr>
            <w:r/>
            <w:r>
              <w:rPr>
                <w:rFonts w:ascii="Aptos" w:hAnsi="Aptos"/>
                <w:b w:val="0"/>
                <w:color w:val="172D2A"/>
                <w:sz w:val="16"/>
              </w:rPr>
              <w:t>936</w:t>
            </w:r>
          </w:p>
        </w:tc>
        <w:tc>
          <w:tcPr>
            <w:tcW w:type="dxa" w:w="1728"/>
            <w:vAlign w:val="center"/>
          </w:tcPr>
          <w:p>
            <w:pPr>
              <w:spacing w:after="0" w:before="0"/>
            </w:pPr>
            <w:r/>
            <w:r>
              <w:rPr>
                <w:rFonts w:ascii="Aptos" w:hAnsi="Aptos"/>
                <w:b w:val="0"/>
                <w:color w:val="172D2A"/>
                <w:sz w:val="16"/>
              </w:rPr>
              <w:t>654</w:t>
            </w:r>
          </w:p>
        </w:tc>
        <w:tc>
          <w:tcPr>
            <w:tcW w:type="dxa" w:w="1656"/>
            <w:vAlign w:val="center"/>
          </w:tcPr>
          <w:p>
            <w:pPr>
              <w:spacing w:after="0" w:before="0"/>
            </w:pPr>
            <w:r/>
            <w:r>
              <w:rPr>
                <w:rFonts w:ascii="Aptos" w:hAnsi="Aptos"/>
                <w:b w:val="0"/>
                <w:color w:val="172D2A"/>
                <w:sz w:val="16"/>
              </w:rPr>
              <w:t>$8.673B</w:t>
            </w:r>
          </w:p>
        </w:tc>
        <w:tc>
          <w:tcPr>
            <w:tcW w:type="dxa" w:w="1440"/>
            <w:vAlign w:val="center"/>
          </w:tcPr>
          <w:p>
            <w:pPr>
              <w:spacing w:after="0" w:before="0"/>
            </w:pPr>
            <w:r/>
            <w:r>
              <w:rPr>
                <w:rFonts w:ascii="Aptos" w:hAnsi="Aptos"/>
                <w:b w:val="0"/>
                <w:color w:val="172D2A"/>
                <w:sz w:val="16"/>
              </w:rPr>
              <w:t>—</w:t>
            </w:r>
          </w:p>
        </w:tc>
        <w:tc>
          <w:tcPr>
            <w:tcW w:type="dxa" w:w="1584"/>
            <w:vAlign w:val="center"/>
          </w:tcPr>
          <w:p>
            <w:pPr>
              <w:spacing w:after="0" w:before="0"/>
            </w:pPr>
            <w:r/>
            <w:r>
              <w:rPr>
                <w:rFonts w:ascii="Aptos" w:hAnsi="Aptos"/>
                <w:b w:val="0"/>
                <w:color w:val="172D2A"/>
                <w:sz w:val="16"/>
              </w:rPr>
              <w:t>69.9%</w:t>
            </w:r>
          </w:p>
        </w:tc>
      </w:tr>
      <w:tr>
        <w:trPr>
          <w:cantSplit/>
        </w:trPr>
        <w:tc>
          <w:tcPr>
            <w:tcW w:type="dxa" w:w="1008"/>
            <w:vAlign w:val="center"/>
            <w:shd w:fill="F0F3ED"/>
          </w:tcPr>
          <w:p>
            <w:pPr>
              <w:spacing w:after="0" w:before="0"/>
            </w:pPr>
            <w:r/>
            <w:r>
              <w:rPr>
                <w:rFonts w:ascii="Aptos" w:hAnsi="Aptos"/>
                <w:b w:val="0"/>
                <w:color w:val="172D2A"/>
                <w:sz w:val="16"/>
              </w:rPr>
              <w:t>2016</w:t>
            </w:r>
          </w:p>
        </w:tc>
        <w:tc>
          <w:tcPr>
            <w:tcW w:type="dxa" w:w="1296"/>
            <w:vAlign w:val="center"/>
            <w:shd w:fill="F0F3ED"/>
          </w:tcPr>
          <w:p>
            <w:pPr>
              <w:spacing w:after="0" w:before="0"/>
            </w:pPr>
            <w:r/>
            <w:r>
              <w:rPr>
                <w:rFonts w:ascii="Aptos" w:hAnsi="Aptos"/>
                <w:b w:val="0"/>
                <w:color w:val="172D2A"/>
                <w:sz w:val="16"/>
              </w:rPr>
              <w:t>993</w:t>
            </w:r>
          </w:p>
        </w:tc>
        <w:tc>
          <w:tcPr>
            <w:tcW w:type="dxa" w:w="1728"/>
            <w:vAlign w:val="center"/>
            <w:shd w:fill="F0F3ED"/>
          </w:tcPr>
          <w:p>
            <w:pPr>
              <w:spacing w:after="0" w:before="0"/>
            </w:pPr>
            <w:r/>
            <w:r>
              <w:rPr>
                <w:rFonts w:ascii="Aptos" w:hAnsi="Aptos"/>
                <w:b w:val="0"/>
                <w:color w:val="172D2A"/>
                <w:sz w:val="16"/>
              </w:rPr>
              <w:t>586</w:t>
            </w:r>
          </w:p>
        </w:tc>
        <w:tc>
          <w:tcPr>
            <w:tcW w:type="dxa" w:w="1656"/>
            <w:vAlign w:val="center"/>
            <w:shd w:fill="F0F3ED"/>
          </w:tcPr>
          <w:p>
            <w:pPr>
              <w:spacing w:after="0" w:before="0"/>
            </w:pPr>
            <w:r/>
            <w:r>
              <w:rPr>
                <w:rFonts w:ascii="Aptos" w:hAnsi="Aptos"/>
                <w:b w:val="0"/>
                <w:color w:val="172D2A"/>
                <w:sz w:val="16"/>
              </w:rPr>
              <w:t>$3.828B</w:t>
            </w:r>
          </w:p>
        </w:tc>
        <w:tc>
          <w:tcPr>
            <w:tcW w:type="dxa" w:w="1440"/>
            <w:vAlign w:val="center"/>
            <w:shd w:fill="F0F3ED"/>
          </w:tcPr>
          <w:p>
            <w:pPr>
              <w:spacing w:after="0" w:before="0"/>
            </w:pPr>
            <w:r/>
            <w:r>
              <w:rPr>
                <w:rFonts w:ascii="Aptos" w:hAnsi="Aptos"/>
                <w:b w:val="0"/>
                <w:color w:val="172D2A"/>
                <w:sz w:val="16"/>
              </w:rPr>
              <w:t>-55.9%</w:t>
            </w:r>
          </w:p>
        </w:tc>
        <w:tc>
          <w:tcPr>
            <w:tcW w:type="dxa" w:w="1584"/>
            <w:vAlign w:val="center"/>
            <w:shd w:fill="F0F3ED"/>
          </w:tcPr>
          <w:p>
            <w:pPr>
              <w:spacing w:after="0" w:before="0"/>
            </w:pPr>
            <w:r/>
            <w:r>
              <w:rPr>
                <w:rFonts w:ascii="Aptos" w:hAnsi="Aptos"/>
                <w:b w:val="0"/>
                <w:color w:val="172D2A"/>
                <w:sz w:val="16"/>
              </w:rPr>
              <w:t>59.0%</w:t>
            </w:r>
          </w:p>
        </w:tc>
      </w:tr>
      <w:tr>
        <w:trPr>
          <w:cantSplit/>
        </w:trPr>
        <w:tc>
          <w:tcPr>
            <w:tcW w:type="dxa" w:w="1008"/>
            <w:vAlign w:val="center"/>
          </w:tcPr>
          <w:p>
            <w:pPr>
              <w:spacing w:after="0" w:before="0"/>
            </w:pPr>
            <w:r/>
            <w:r>
              <w:rPr>
                <w:rFonts w:ascii="Aptos" w:hAnsi="Aptos"/>
                <w:b w:val="0"/>
                <w:color w:val="172D2A"/>
                <w:sz w:val="16"/>
              </w:rPr>
              <w:t>2017</w:t>
            </w:r>
          </w:p>
        </w:tc>
        <w:tc>
          <w:tcPr>
            <w:tcW w:type="dxa" w:w="1296"/>
            <w:vAlign w:val="center"/>
          </w:tcPr>
          <w:p>
            <w:pPr>
              <w:spacing w:after="0" w:before="0"/>
            </w:pPr>
            <w:r/>
            <w:r>
              <w:rPr>
                <w:rFonts w:ascii="Aptos" w:hAnsi="Aptos"/>
                <w:b w:val="0"/>
                <w:color w:val="172D2A"/>
                <w:sz w:val="16"/>
              </w:rPr>
              <w:t>687</w:t>
            </w:r>
          </w:p>
        </w:tc>
        <w:tc>
          <w:tcPr>
            <w:tcW w:type="dxa" w:w="1728"/>
            <w:vAlign w:val="center"/>
          </w:tcPr>
          <w:p>
            <w:pPr>
              <w:spacing w:after="0" w:before="0"/>
            </w:pPr>
            <w:r/>
            <w:r>
              <w:rPr>
                <w:rFonts w:ascii="Aptos" w:hAnsi="Aptos"/>
                <w:b w:val="0"/>
                <w:color w:val="172D2A"/>
                <w:sz w:val="16"/>
              </w:rPr>
              <w:t>456</w:t>
            </w:r>
          </w:p>
        </w:tc>
        <w:tc>
          <w:tcPr>
            <w:tcW w:type="dxa" w:w="1656"/>
            <w:vAlign w:val="center"/>
          </w:tcPr>
          <w:p>
            <w:pPr>
              <w:spacing w:after="0" w:before="0"/>
            </w:pPr>
            <w:r/>
            <w:r>
              <w:rPr>
                <w:rFonts w:ascii="Aptos" w:hAnsi="Aptos"/>
                <w:b w:val="0"/>
                <w:color w:val="172D2A"/>
                <w:sz w:val="16"/>
              </w:rPr>
              <w:t>$10.429B</w:t>
            </w:r>
          </w:p>
        </w:tc>
        <w:tc>
          <w:tcPr>
            <w:tcW w:type="dxa" w:w="1440"/>
            <w:vAlign w:val="center"/>
          </w:tcPr>
          <w:p>
            <w:pPr>
              <w:spacing w:after="0" w:before="0"/>
            </w:pPr>
            <w:r/>
            <w:r>
              <w:rPr>
                <w:rFonts w:ascii="Aptos" w:hAnsi="Aptos"/>
                <w:b w:val="0"/>
                <w:color w:val="172D2A"/>
                <w:sz w:val="16"/>
              </w:rPr>
              <w:t>+172.4%</w:t>
            </w:r>
          </w:p>
        </w:tc>
        <w:tc>
          <w:tcPr>
            <w:tcW w:type="dxa" w:w="1584"/>
            <w:vAlign w:val="center"/>
          </w:tcPr>
          <w:p>
            <w:pPr>
              <w:spacing w:after="0" w:before="0"/>
            </w:pPr>
            <w:r/>
            <w:r>
              <w:rPr>
                <w:rFonts w:ascii="Aptos" w:hAnsi="Aptos"/>
                <w:b w:val="0"/>
                <w:color w:val="172D2A"/>
                <w:sz w:val="16"/>
              </w:rPr>
              <w:t>66.4%</w:t>
            </w:r>
          </w:p>
        </w:tc>
      </w:tr>
      <w:tr>
        <w:trPr>
          <w:cantSplit/>
        </w:trPr>
        <w:tc>
          <w:tcPr>
            <w:tcW w:type="dxa" w:w="1008"/>
            <w:vAlign w:val="center"/>
            <w:shd w:fill="F0F3ED"/>
          </w:tcPr>
          <w:p>
            <w:pPr>
              <w:spacing w:after="0" w:before="0"/>
            </w:pPr>
            <w:r/>
            <w:r>
              <w:rPr>
                <w:rFonts w:ascii="Aptos" w:hAnsi="Aptos"/>
                <w:b w:val="0"/>
                <w:color w:val="172D2A"/>
                <w:sz w:val="16"/>
              </w:rPr>
              <w:t>2018</w:t>
            </w:r>
          </w:p>
        </w:tc>
        <w:tc>
          <w:tcPr>
            <w:tcW w:type="dxa" w:w="1296"/>
            <w:vAlign w:val="center"/>
            <w:shd w:fill="F0F3ED"/>
          </w:tcPr>
          <w:p>
            <w:pPr>
              <w:spacing w:after="0" w:before="0"/>
            </w:pPr>
            <w:r/>
            <w:r>
              <w:rPr>
                <w:rFonts w:ascii="Aptos" w:hAnsi="Aptos"/>
                <w:b w:val="0"/>
                <w:color w:val="172D2A"/>
                <w:sz w:val="16"/>
              </w:rPr>
              <w:t>310</w:t>
            </w:r>
          </w:p>
        </w:tc>
        <w:tc>
          <w:tcPr>
            <w:tcW w:type="dxa" w:w="1728"/>
            <w:vAlign w:val="center"/>
            <w:shd w:fill="F0F3ED"/>
          </w:tcPr>
          <w:p>
            <w:pPr>
              <w:spacing w:after="0" w:before="0"/>
            </w:pPr>
            <w:r/>
            <w:r>
              <w:rPr>
                <w:rFonts w:ascii="Aptos" w:hAnsi="Aptos"/>
                <w:b w:val="0"/>
                <w:color w:val="172D2A"/>
                <w:sz w:val="16"/>
              </w:rPr>
              <w:t>265</w:t>
            </w:r>
          </w:p>
        </w:tc>
        <w:tc>
          <w:tcPr>
            <w:tcW w:type="dxa" w:w="1656"/>
            <w:vAlign w:val="center"/>
            <w:shd w:fill="F0F3ED"/>
          </w:tcPr>
          <w:p>
            <w:pPr>
              <w:spacing w:after="0" w:before="0"/>
            </w:pPr>
            <w:r/>
            <w:r>
              <w:rPr>
                <w:rFonts w:ascii="Aptos" w:hAnsi="Aptos"/>
                <w:b w:val="0"/>
                <w:color w:val="172D2A"/>
                <w:sz w:val="16"/>
              </w:rPr>
              <w:t>$5.122B</w:t>
            </w:r>
          </w:p>
        </w:tc>
        <w:tc>
          <w:tcPr>
            <w:tcW w:type="dxa" w:w="1440"/>
            <w:vAlign w:val="center"/>
            <w:shd w:fill="F0F3ED"/>
          </w:tcPr>
          <w:p>
            <w:pPr>
              <w:spacing w:after="0" w:before="0"/>
            </w:pPr>
            <w:r/>
            <w:r>
              <w:rPr>
                <w:rFonts w:ascii="Aptos" w:hAnsi="Aptos"/>
                <w:b w:val="0"/>
                <w:color w:val="172D2A"/>
                <w:sz w:val="16"/>
              </w:rPr>
              <w:t>-50.9%</w:t>
            </w:r>
          </w:p>
        </w:tc>
        <w:tc>
          <w:tcPr>
            <w:tcW w:type="dxa" w:w="1584"/>
            <w:vAlign w:val="center"/>
            <w:shd w:fill="F0F3ED"/>
          </w:tcPr>
          <w:p>
            <w:pPr>
              <w:spacing w:after="0" w:before="0"/>
            </w:pPr>
            <w:r/>
            <w:r>
              <w:rPr>
                <w:rFonts w:ascii="Aptos" w:hAnsi="Aptos"/>
                <w:b w:val="0"/>
                <w:color w:val="172D2A"/>
                <w:sz w:val="16"/>
              </w:rPr>
              <w:t>85.5%</w:t>
            </w:r>
          </w:p>
        </w:tc>
      </w:tr>
      <w:tr>
        <w:trPr>
          <w:cantSplit/>
        </w:trPr>
        <w:tc>
          <w:tcPr>
            <w:tcW w:type="dxa" w:w="1008"/>
            <w:vAlign w:val="center"/>
          </w:tcPr>
          <w:p>
            <w:pPr>
              <w:spacing w:after="0" w:before="0"/>
            </w:pPr>
            <w:r/>
            <w:r>
              <w:rPr>
                <w:rFonts w:ascii="Aptos" w:hAnsi="Aptos"/>
                <w:b w:val="0"/>
                <w:color w:val="172D2A"/>
                <w:sz w:val="16"/>
              </w:rPr>
              <w:t>2019</w:t>
            </w:r>
          </w:p>
        </w:tc>
        <w:tc>
          <w:tcPr>
            <w:tcW w:type="dxa" w:w="1296"/>
            <w:vAlign w:val="center"/>
          </w:tcPr>
          <w:p>
            <w:pPr>
              <w:spacing w:after="0" w:before="0"/>
            </w:pPr>
            <w:r/>
            <w:r>
              <w:rPr>
                <w:rFonts w:ascii="Aptos" w:hAnsi="Aptos"/>
                <w:b w:val="0"/>
                <w:color w:val="172D2A"/>
                <w:sz w:val="16"/>
              </w:rPr>
              <w:t>111</w:t>
            </w:r>
          </w:p>
        </w:tc>
        <w:tc>
          <w:tcPr>
            <w:tcW w:type="dxa" w:w="1728"/>
            <w:vAlign w:val="center"/>
          </w:tcPr>
          <w:p>
            <w:pPr>
              <w:spacing w:after="0" w:before="0"/>
            </w:pPr>
            <w:r/>
            <w:r>
              <w:rPr>
                <w:rFonts w:ascii="Aptos" w:hAnsi="Aptos"/>
                <w:b w:val="0"/>
                <w:color w:val="172D2A"/>
                <w:sz w:val="16"/>
              </w:rPr>
              <w:t>105</w:t>
            </w:r>
          </w:p>
        </w:tc>
        <w:tc>
          <w:tcPr>
            <w:tcW w:type="dxa" w:w="1656"/>
            <w:vAlign w:val="center"/>
          </w:tcPr>
          <w:p>
            <w:pPr>
              <w:spacing w:after="0" w:before="0"/>
            </w:pPr>
            <w:r/>
            <w:r>
              <w:rPr>
                <w:rFonts w:ascii="Aptos" w:hAnsi="Aptos"/>
                <w:b w:val="0"/>
                <w:color w:val="172D2A"/>
                <w:sz w:val="16"/>
              </w:rPr>
              <w:t>$9.701B</w:t>
            </w:r>
          </w:p>
        </w:tc>
        <w:tc>
          <w:tcPr>
            <w:tcW w:type="dxa" w:w="1440"/>
            <w:vAlign w:val="center"/>
          </w:tcPr>
          <w:p>
            <w:pPr>
              <w:spacing w:after="0" w:before="0"/>
            </w:pPr>
            <w:r/>
            <w:r>
              <w:rPr>
                <w:rFonts w:ascii="Aptos" w:hAnsi="Aptos"/>
                <w:b w:val="0"/>
                <w:color w:val="172D2A"/>
                <w:sz w:val="16"/>
              </w:rPr>
              <w:t>+89.4%</w:t>
            </w:r>
          </w:p>
        </w:tc>
        <w:tc>
          <w:tcPr>
            <w:tcW w:type="dxa" w:w="1584"/>
            <w:vAlign w:val="center"/>
          </w:tcPr>
          <w:p>
            <w:pPr>
              <w:spacing w:after="0" w:before="0"/>
            </w:pPr>
            <w:r/>
            <w:r>
              <w:rPr>
                <w:rFonts w:ascii="Aptos" w:hAnsi="Aptos"/>
                <w:b w:val="0"/>
                <w:color w:val="172D2A"/>
                <w:sz w:val="16"/>
              </w:rPr>
              <w:t>94.6%</w:t>
            </w:r>
          </w:p>
        </w:tc>
      </w:tr>
      <w:tr>
        <w:trPr>
          <w:cantSplit/>
        </w:trPr>
        <w:tc>
          <w:tcPr>
            <w:tcW w:type="dxa" w:w="1008"/>
            <w:vAlign w:val="center"/>
            <w:shd w:fill="F0F3ED"/>
          </w:tcPr>
          <w:p>
            <w:pPr>
              <w:spacing w:after="0" w:before="0"/>
            </w:pPr>
            <w:r/>
            <w:r>
              <w:rPr>
                <w:rFonts w:ascii="Aptos" w:hAnsi="Aptos"/>
                <w:b w:val="0"/>
                <w:color w:val="172D2A"/>
                <w:sz w:val="16"/>
              </w:rPr>
              <w:t>2020</w:t>
            </w:r>
          </w:p>
        </w:tc>
        <w:tc>
          <w:tcPr>
            <w:tcW w:type="dxa" w:w="1296"/>
            <w:vAlign w:val="center"/>
            <w:shd w:fill="F0F3ED"/>
          </w:tcPr>
          <w:p>
            <w:pPr>
              <w:spacing w:after="0" w:before="0"/>
            </w:pPr>
            <w:r/>
            <w:r>
              <w:rPr>
                <w:rFonts w:ascii="Aptos" w:hAnsi="Aptos"/>
                <w:b w:val="0"/>
                <w:color w:val="172D2A"/>
                <w:sz w:val="16"/>
              </w:rPr>
              <w:t>7</w:t>
            </w:r>
          </w:p>
        </w:tc>
        <w:tc>
          <w:tcPr>
            <w:tcW w:type="dxa" w:w="1728"/>
            <w:vAlign w:val="center"/>
            <w:shd w:fill="F0F3ED"/>
          </w:tcPr>
          <w:p>
            <w:pPr>
              <w:spacing w:after="0" w:before="0"/>
            </w:pPr>
            <w:r/>
            <w:r>
              <w:rPr>
                <w:rFonts w:ascii="Aptos" w:hAnsi="Aptos"/>
                <w:b w:val="0"/>
                <w:color w:val="172D2A"/>
                <w:sz w:val="16"/>
              </w:rPr>
              <w:t>7</w:t>
            </w:r>
          </w:p>
        </w:tc>
        <w:tc>
          <w:tcPr>
            <w:tcW w:type="dxa" w:w="1656"/>
            <w:vAlign w:val="center"/>
            <w:shd w:fill="F0F3ED"/>
          </w:tcPr>
          <w:p>
            <w:pPr>
              <w:spacing w:after="0" w:before="0"/>
            </w:pPr>
            <w:r/>
            <w:r>
              <w:rPr>
                <w:rFonts w:ascii="Aptos" w:hAnsi="Aptos"/>
                <w:b w:val="0"/>
                <w:color w:val="172D2A"/>
                <w:sz w:val="16"/>
              </w:rPr>
              <w:t>$0.390B</w:t>
            </w:r>
          </w:p>
        </w:tc>
        <w:tc>
          <w:tcPr>
            <w:tcW w:type="dxa" w:w="1440"/>
            <w:vAlign w:val="center"/>
            <w:shd w:fill="F0F3ED"/>
          </w:tcPr>
          <w:p>
            <w:pPr>
              <w:spacing w:after="0" w:before="0"/>
            </w:pPr>
            <w:r/>
            <w:r>
              <w:rPr>
                <w:rFonts w:ascii="Aptos" w:hAnsi="Aptos"/>
                <w:b w:val="0"/>
                <w:color w:val="172D2A"/>
                <w:sz w:val="16"/>
              </w:rPr>
              <w:t>-96.0%</w:t>
            </w:r>
          </w:p>
        </w:tc>
        <w:tc>
          <w:tcPr>
            <w:tcW w:type="dxa" w:w="1584"/>
            <w:vAlign w:val="center"/>
            <w:shd w:fill="F0F3ED"/>
          </w:tcPr>
          <w:p>
            <w:pPr>
              <w:spacing w:after="0" w:before="0"/>
            </w:pPr>
            <w:r/>
            <w:r>
              <w:rPr>
                <w:rFonts w:ascii="Aptos" w:hAnsi="Aptos"/>
                <w:b w:val="0"/>
                <w:color w:val="172D2A"/>
                <w:sz w:val="16"/>
              </w:rPr>
              <w:t>100.0%</w:t>
            </w:r>
          </w:p>
        </w:tc>
      </w:tr>
    </w:tbl>
    <w:p>
      <w:pPr>
        <w:spacing w:after="0"/>
      </w:pPr>
    </w:p>
    <w:p>
      <w:pPr>
        <w:spacing w:after="100" w:line="259" w:lineRule="auto"/>
      </w:pPr>
      <w:r>
        <w:rPr>
          <w:rFonts w:ascii="Aptos" w:hAnsi="Aptos"/>
          <w:i/>
          <w:color w:val="D86A4A"/>
          <w:sz w:val="17"/>
        </w:rPr>
        <w:t>*2020 YoY change is shown only to document the mechanical calculation (-96.0%); it must not be interpreted as a full-year funding decline because the file has only January 2020 records.</w:t>
      </w:r>
    </w:p>
    <w:p>
      <w:pPr>
        <w:pStyle w:val="Heading2"/>
      </w:pPr>
      <w:r>
        <w:t>What the data supports</w:t>
      </w:r>
    </w:p>
    <w:p>
      <w:pPr>
        <w:pStyle w:val="ListBullet"/>
        <w:spacing w:after="60" w:line="247" w:lineRule="auto"/>
      </w:pPr>
      <w:r>
        <w:rPr>
          <w:rFonts w:ascii="Aptos" w:hAnsi="Aptos"/>
          <w:color w:val="172D2A"/>
          <w:sz w:val="19"/>
        </w:rPr>
        <w:t>2017 has the highest annual disclosed total at $10.43B; 2015 is $8.67B, 2019 is $9.70B, and 2018 is $5.12B.</w:t>
      </w:r>
    </w:p>
    <w:p>
      <w:pPr>
        <w:pStyle w:val="ListBullet"/>
        <w:spacing w:after="60" w:line="247" w:lineRule="auto"/>
      </w:pPr>
      <w:r>
        <w:rPr>
          <w:rFonts w:ascii="Aptos" w:hAnsi="Aptos"/>
          <w:color w:val="172D2A"/>
          <w:sz w:val="19"/>
        </w:rPr>
        <w:t>2016 has the largest record count (993). Later observed counts fall to 687 in 2017, 310 in 2018, 111 in 2019, and 7 in January 2020. This coverage pattern is a reason to verify collection completeness before market-level interpretation.</w:t>
      </w:r>
    </w:p>
    <w:p>
      <w:pPr>
        <w:pStyle w:val="ListBullet"/>
        <w:spacing w:after="60" w:line="247" w:lineRule="auto"/>
      </w:pPr>
      <w:r>
        <w:rPr>
          <w:rFonts w:ascii="Aptos" w:hAnsi="Aptos"/>
          <w:color w:val="172D2A"/>
          <w:sz w:val="19"/>
        </w:rPr>
        <w:t>The largest observed funding month is 2019-08 at $4.53B across 17 records, including 16 numeric amounts. This is driven by a $3.9B recorded round and requires source-level verification.</w:t>
      </w:r>
    </w:p>
    <w:p>
      <w:pPr>
        <w:pStyle w:val="ListBullet"/>
        <w:spacing w:after="60" w:line="247" w:lineRule="auto"/>
      </w:pPr>
      <w:r>
        <w:rPr>
          <w:rFonts w:ascii="Aptos" w:hAnsi="Aptos"/>
          <w:color w:val="172D2A"/>
          <w:sz w:val="19"/>
        </w:rPr>
        <w:t>The dataset contains no YearMonth row for 2019-03. A strict month-over-month series should include the missing month as missing/zero by a documented rule rather than silently skipping it.</w:t>
      </w:r>
    </w:p>
    <w:p>
      <w:r>
        <w:br w:type="page"/>
      </w:r>
    </w:p>
    <w:p>
      <w:pPr>
        <w:spacing w:after="40"/>
      </w:pPr>
      <w:r>
        <w:rPr>
          <w:rFonts w:ascii="Aptos" w:hAnsi="Aptos"/>
          <w:b/>
          <w:color w:val="D86A4A"/>
          <w:sz w:val="16"/>
        </w:rPr>
        <w:t>06 | INDUSTRY MIX</w:t>
      </w:r>
    </w:p>
    <w:p>
      <w:pPr>
        <w:spacing w:after="80"/>
      </w:pPr>
      <w:r>
        <w:rPr>
          <w:rFonts w:ascii="Aptos Display" w:hAnsi="Aptos Display"/>
          <w:b/>
          <w:color w:val="183F3A"/>
          <w:sz w:val="44"/>
        </w:rPr>
        <w:t>Industry rankings are sensitive to inconsistent labels</w:t>
      </w:r>
    </w:p>
    <w:p>
      <w:pPr>
        <w:spacing w:after="100" w:line="259" w:lineRule="auto"/>
      </w:pPr>
      <w:r>
        <w:rPr>
          <w:rFonts w:ascii="Aptos" w:hAnsi="Aptos"/>
          <w:i w:val="0"/>
          <w:color w:val="66736D"/>
          <w:sz w:val="20"/>
        </w:rPr>
        <w:t>The raw Industry field has 822 distinct strings. A limited case/punctuation normalization was applied to exact e-commerce label variants for this finding; it is not a full sector taxonomy.</w:t>
      </w:r>
    </w:p>
    <w:p>
      <w:pPr>
        <w:spacing w:after="40"/>
        <w:jc w:val="center"/>
      </w:pPr>
      <w:r>
        <w:drawing>
          <wp:inline xmlns:a="http://schemas.openxmlformats.org/drawingml/2006/main" xmlns:pic="http://schemas.openxmlformats.org/drawingml/2006/picture">
            <wp:extent cx="5852160" cy="2282380"/>
            <wp:docPr id="3" name="Picture 3"/>
            <wp:cNvGraphicFramePr>
              <a:graphicFrameLocks noChangeAspect="1"/>
            </wp:cNvGraphicFramePr>
            <a:graphic>
              <a:graphicData uri="http://schemas.openxmlformats.org/drawingml/2006/picture">
                <pic:pic>
                  <pic:nvPicPr>
                    <pic:cNvPr id="0" name="industry_funding.png"/>
                    <pic:cNvPicPr/>
                  </pic:nvPicPr>
                  <pic:blipFill>
                    <a:blip r:embed="rId13"/>
                    <a:stretch>
                      <a:fillRect/>
                    </a:stretch>
                  </pic:blipFill>
                  <pic:spPr>
                    <a:xfrm>
                      <a:off x="0" y="0"/>
                      <a:ext cx="5852160" cy="2282380"/>
                    </a:xfrm>
                    <a:prstGeom prst="rect"/>
                  </pic:spPr>
                </pic:pic>
              </a:graphicData>
            </a:graphic>
          </wp:inline>
        </w:drawing>
      </w:r>
    </w:p>
    <w:p>
      <w:pPr>
        <w:spacing w:after="120"/>
        <w:jc w:val="center"/>
      </w:pPr>
      <w:r>
        <w:rPr>
          <w:rFonts w:ascii="Aptos" w:hAnsi="Aptos"/>
          <w:i/>
          <w:color w:val="66736D"/>
          <w:sz w:val="16"/>
        </w:rPr>
        <w:t>For the E-commerce bar, exact labels that normalize to “ecommerce” after lowercasing and removing punctuation are merged. Subtypes such as marketplace or M-commerce are not included in that group.</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448"/>
            <w:vAlign w:val="center"/>
            <w:shd w:fill="183F3A"/>
          </w:tcPr>
          <w:p>
            <w:pPr>
              <w:spacing w:after="0" w:before="0"/>
            </w:pPr>
            <w:r/>
            <w:r>
              <w:rPr>
                <w:rFonts w:ascii="Aptos" w:hAnsi="Aptos"/>
                <w:b/>
                <w:color w:val="FFFFFF"/>
                <w:sz w:val="16"/>
              </w:rPr>
              <w:t>Industry grouping / label</w:t>
            </w:r>
          </w:p>
        </w:tc>
        <w:tc>
          <w:tcPr>
            <w:tcW w:type="dxa" w:w="1080"/>
            <w:vAlign w:val="center"/>
            <w:shd w:fill="183F3A"/>
          </w:tcPr>
          <w:p>
            <w:pPr>
              <w:spacing w:after="0" w:before="0"/>
            </w:pPr>
            <w:r/>
            <w:r>
              <w:rPr>
                <w:rFonts w:ascii="Aptos" w:hAnsi="Aptos"/>
                <w:b/>
                <w:color w:val="FFFFFF"/>
                <w:sz w:val="16"/>
              </w:rPr>
              <w:t>Records</w:t>
            </w:r>
          </w:p>
        </w:tc>
        <w:tc>
          <w:tcPr>
            <w:tcW w:type="dxa" w:w="1728"/>
            <w:vAlign w:val="center"/>
            <w:shd w:fill="183F3A"/>
          </w:tcPr>
          <w:p>
            <w:pPr>
              <w:spacing w:after="0" w:before="0"/>
            </w:pPr>
            <w:r/>
            <w:r>
              <w:rPr>
                <w:rFonts w:ascii="Aptos" w:hAnsi="Aptos"/>
                <w:b/>
                <w:color w:val="FFFFFF"/>
                <w:sz w:val="16"/>
              </w:rPr>
              <w:t>Disclosed funding</w:t>
            </w:r>
          </w:p>
        </w:tc>
        <w:tc>
          <w:tcPr>
            <w:tcW w:type="dxa" w:w="3816"/>
            <w:vAlign w:val="center"/>
            <w:shd w:fill="183F3A"/>
          </w:tcPr>
          <w:p>
            <w:pPr>
              <w:spacing w:after="0" w:before="0"/>
            </w:pPr>
            <w:r/>
            <w:r>
              <w:rPr>
                <w:rFonts w:ascii="Aptos" w:hAnsi="Aptos"/>
                <w:b/>
                <w:color w:val="FFFFFF"/>
                <w:sz w:val="16"/>
              </w:rPr>
              <w:t>Analytical note</w:t>
            </w:r>
          </w:p>
        </w:tc>
      </w:tr>
      <w:tr>
        <w:trPr>
          <w:cantSplit/>
        </w:trPr>
        <w:tc>
          <w:tcPr>
            <w:tcW w:type="dxa" w:w="2448"/>
            <w:vAlign w:val="center"/>
          </w:tcPr>
          <w:p>
            <w:pPr>
              <w:spacing w:after="0" w:before="0"/>
            </w:pPr>
            <w:r/>
            <w:r>
              <w:rPr>
                <w:rFonts w:ascii="Aptos" w:hAnsi="Aptos"/>
                <w:b w:val="0"/>
                <w:color w:val="172D2A"/>
                <w:sz w:val="16"/>
              </w:rPr>
              <w:t>E-commerce exact label variants</w:t>
            </w:r>
          </w:p>
        </w:tc>
        <w:tc>
          <w:tcPr>
            <w:tcW w:type="dxa" w:w="1080"/>
            <w:vAlign w:val="center"/>
          </w:tcPr>
          <w:p>
            <w:pPr>
              <w:spacing w:after="0" w:before="0"/>
            </w:pPr>
            <w:r/>
            <w:r>
              <w:rPr>
                <w:rFonts w:ascii="Aptos" w:hAnsi="Aptos"/>
                <w:b w:val="0"/>
                <w:color w:val="172D2A"/>
                <w:sz w:val="16"/>
              </w:rPr>
              <w:t>299</w:t>
            </w:r>
          </w:p>
        </w:tc>
        <w:tc>
          <w:tcPr>
            <w:tcW w:type="dxa" w:w="1728"/>
            <w:vAlign w:val="center"/>
          </w:tcPr>
          <w:p>
            <w:pPr>
              <w:spacing w:after="0" w:before="0"/>
            </w:pPr>
            <w:r/>
            <w:r>
              <w:rPr>
                <w:rFonts w:ascii="Aptos" w:hAnsi="Aptos"/>
                <w:b w:val="0"/>
                <w:color w:val="172D2A"/>
                <w:sz w:val="16"/>
              </w:rPr>
              <w:t>$8.26B</w:t>
            </w:r>
          </w:p>
        </w:tc>
        <w:tc>
          <w:tcPr>
            <w:tcW w:type="dxa" w:w="3816"/>
            <w:vAlign w:val="center"/>
          </w:tcPr>
          <w:p>
            <w:pPr>
              <w:spacing w:after="0" w:before="0"/>
            </w:pPr>
            <w:r/>
            <w:r>
              <w:rPr>
                <w:rFonts w:ascii="Aptos" w:hAnsi="Aptos"/>
                <w:b w:val="0"/>
                <w:color w:val="172D2A"/>
                <w:sz w:val="16"/>
              </w:rPr>
              <w:t>299 records across six case/punctuation variants; this grouping changes the ranking.</w:t>
            </w:r>
          </w:p>
        </w:tc>
      </w:tr>
      <w:tr>
        <w:trPr>
          <w:cantSplit/>
        </w:trPr>
        <w:tc>
          <w:tcPr>
            <w:tcW w:type="dxa" w:w="2448"/>
            <w:vAlign w:val="center"/>
            <w:shd w:fill="F0F3ED"/>
          </w:tcPr>
          <w:p>
            <w:pPr>
              <w:spacing w:after="0" w:before="0"/>
            </w:pPr>
            <w:r/>
            <w:r>
              <w:rPr>
                <w:rFonts w:ascii="Aptos" w:hAnsi="Aptos"/>
                <w:b w:val="0"/>
                <w:color w:val="172D2A"/>
                <w:sz w:val="16"/>
              </w:rPr>
              <w:t>Consumer Internet</w:t>
            </w:r>
          </w:p>
        </w:tc>
        <w:tc>
          <w:tcPr>
            <w:tcW w:type="dxa" w:w="1080"/>
            <w:vAlign w:val="center"/>
            <w:shd w:fill="F0F3ED"/>
          </w:tcPr>
          <w:p>
            <w:pPr>
              <w:spacing w:after="0" w:before="0"/>
            </w:pPr>
            <w:r/>
            <w:r>
              <w:rPr>
                <w:rFonts w:ascii="Aptos" w:hAnsi="Aptos"/>
                <w:b w:val="0"/>
                <w:color w:val="172D2A"/>
                <w:sz w:val="16"/>
              </w:rPr>
              <w:t>941</w:t>
            </w:r>
          </w:p>
        </w:tc>
        <w:tc>
          <w:tcPr>
            <w:tcW w:type="dxa" w:w="1728"/>
            <w:vAlign w:val="center"/>
            <w:shd w:fill="F0F3ED"/>
          </w:tcPr>
          <w:p>
            <w:pPr>
              <w:spacing w:after="0" w:before="0"/>
            </w:pPr>
            <w:r/>
            <w:r>
              <w:rPr>
                <w:rFonts w:ascii="Aptos" w:hAnsi="Aptos"/>
                <w:b w:val="0"/>
                <w:color w:val="172D2A"/>
                <w:sz w:val="16"/>
              </w:rPr>
              <w:t>$6.25B</w:t>
            </w:r>
          </w:p>
        </w:tc>
        <w:tc>
          <w:tcPr>
            <w:tcW w:type="dxa" w:w="3816"/>
            <w:vAlign w:val="center"/>
            <w:shd w:fill="F0F3ED"/>
          </w:tcPr>
          <w:p>
            <w:pPr>
              <w:spacing w:after="0" w:before="0"/>
            </w:pPr>
            <w:r/>
            <w:r>
              <w:rPr>
                <w:rFonts w:ascii="Aptos" w:hAnsi="Aptos"/>
                <w:b w:val="0"/>
                <w:color w:val="172D2A"/>
                <w:sz w:val="16"/>
              </w:rPr>
              <w:t>Largest single raw label; 941 records.</w:t>
            </w:r>
          </w:p>
        </w:tc>
      </w:tr>
      <w:tr>
        <w:trPr>
          <w:cantSplit/>
        </w:trPr>
        <w:tc>
          <w:tcPr>
            <w:tcW w:type="dxa" w:w="2448"/>
            <w:vAlign w:val="center"/>
          </w:tcPr>
          <w:p>
            <w:pPr>
              <w:spacing w:after="0" w:before="0"/>
            </w:pPr>
            <w:r/>
            <w:r>
              <w:rPr>
                <w:rFonts w:ascii="Aptos" w:hAnsi="Aptos"/>
                <w:b w:val="0"/>
                <w:color w:val="172D2A"/>
                <w:sz w:val="16"/>
              </w:rPr>
              <w:t>Transportation</w:t>
            </w:r>
          </w:p>
        </w:tc>
        <w:tc>
          <w:tcPr>
            <w:tcW w:type="dxa" w:w="1080"/>
            <w:vAlign w:val="center"/>
          </w:tcPr>
          <w:p>
            <w:pPr>
              <w:spacing w:after="0" w:before="0"/>
            </w:pPr>
            <w:r/>
            <w:r>
              <w:rPr>
                <w:rFonts w:ascii="Aptos" w:hAnsi="Aptos"/>
                <w:b w:val="0"/>
                <w:color w:val="172D2A"/>
                <w:sz w:val="16"/>
              </w:rPr>
              <w:t>4</w:t>
            </w:r>
          </w:p>
        </w:tc>
        <w:tc>
          <w:tcPr>
            <w:tcW w:type="dxa" w:w="1728"/>
            <w:vAlign w:val="center"/>
          </w:tcPr>
          <w:p>
            <w:pPr>
              <w:spacing w:after="0" w:before="0"/>
            </w:pPr>
            <w:r/>
            <w:r>
              <w:rPr>
                <w:rFonts w:ascii="Aptos" w:hAnsi="Aptos"/>
                <w:b w:val="0"/>
                <w:color w:val="172D2A"/>
                <w:sz w:val="16"/>
              </w:rPr>
              <w:t>$3.92B</w:t>
            </w:r>
          </w:p>
        </w:tc>
        <w:tc>
          <w:tcPr>
            <w:tcW w:type="dxa" w:w="3816"/>
            <w:vAlign w:val="center"/>
          </w:tcPr>
          <w:p>
            <w:pPr>
              <w:spacing w:after="0" w:before="0"/>
            </w:pPr>
            <w:r/>
            <w:r>
              <w:rPr>
                <w:rFonts w:ascii="Aptos" w:hAnsi="Aptos"/>
                <w:b w:val="0"/>
                <w:color w:val="172D2A"/>
                <w:sz w:val="16"/>
              </w:rPr>
              <w:t>Only 4 records; dominated by the $3.9B Rapido record, a material outlier to verify.</w:t>
            </w:r>
          </w:p>
        </w:tc>
      </w:tr>
      <w:tr>
        <w:trPr>
          <w:cantSplit/>
        </w:trPr>
        <w:tc>
          <w:tcPr>
            <w:tcW w:type="dxa" w:w="2448"/>
            <w:vAlign w:val="center"/>
            <w:shd w:fill="F0F3ED"/>
          </w:tcPr>
          <w:p>
            <w:pPr>
              <w:spacing w:after="0" w:before="0"/>
            </w:pPr>
            <w:r/>
            <w:r>
              <w:rPr>
                <w:rFonts w:ascii="Aptos" w:hAnsi="Aptos"/>
                <w:b w:val="0"/>
                <w:color w:val="172D2A"/>
                <w:sz w:val="16"/>
              </w:rPr>
              <w:t>Technology</w:t>
            </w:r>
          </w:p>
        </w:tc>
        <w:tc>
          <w:tcPr>
            <w:tcW w:type="dxa" w:w="1080"/>
            <w:vAlign w:val="center"/>
            <w:shd w:fill="F0F3ED"/>
          </w:tcPr>
          <w:p>
            <w:pPr>
              <w:spacing w:after="0" w:before="0"/>
            </w:pPr>
            <w:r/>
            <w:r>
              <w:rPr>
                <w:rFonts w:ascii="Aptos" w:hAnsi="Aptos"/>
                <w:b w:val="0"/>
                <w:color w:val="172D2A"/>
                <w:sz w:val="16"/>
              </w:rPr>
              <w:t>478</w:t>
            </w:r>
          </w:p>
        </w:tc>
        <w:tc>
          <w:tcPr>
            <w:tcW w:type="dxa" w:w="1728"/>
            <w:vAlign w:val="center"/>
            <w:shd w:fill="F0F3ED"/>
          </w:tcPr>
          <w:p>
            <w:pPr>
              <w:spacing w:after="0" w:before="0"/>
            </w:pPr>
            <w:r/>
            <w:r>
              <w:rPr>
                <w:rFonts w:ascii="Aptos" w:hAnsi="Aptos"/>
                <w:b w:val="0"/>
                <w:color w:val="172D2A"/>
                <w:sz w:val="16"/>
              </w:rPr>
              <w:t>$2.23B</w:t>
            </w:r>
          </w:p>
        </w:tc>
        <w:tc>
          <w:tcPr>
            <w:tcW w:type="dxa" w:w="3816"/>
            <w:vAlign w:val="center"/>
            <w:shd w:fill="F0F3ED"/>
          </w:tcPr>
          <w:p>
            <w:pPr>
              <w:spacing w:after="0" w:before="0"/>
            </w:pPr>
            <w:r/>
            <w:r>
              <w:rPr>
                <w:rFonts w:ascii="Aptos" w:hAnsi="Aptos"/>
                <w:b w:val="0"/>
                <w:color w:val="172D2A"/>
                <w:sz w:val="16"/>
              </w:rPr>
              <w:t>Exact raw label only.</w:t>
            </w:r>
          </w:p>
        </w:tc>
      </w:tr>
      <w:tr>
        <w:trPr>
          <w:cantSplit/>
        </w:trPr>
        <w:tc>
          <w:tcPr>
            <w:tcW w:type="dxa" w:w="2448"/>
            <w:vAlign w:val="center"/>
          </w:tcPr>
          <w:p>
            <w:pPr>
              <w:spacing w:after="0" w:before="0"/>
            </w:pPr>
            <w:r/>
            <w:r>
              <w:rPr>
                <w:rFonts w:ascii="Aptos" w:hAnsi="Aptos"/>
                <w:b w:val="0"/>
                <w:color w:val="172D2A"/>
                <w:sz w:val="16"/>
              </w:rPr>
              <w:t>Finance</w:t>
            </w:r>
          </w:p>
        </w:tc>
        <w:tc>
          <w:tcPr>
            <w:tcW w:type="dxa" w:w="1080"/>
            <w:vAlign w:val="center"/>
          </w:tcPr>
          <w:p>
            <w:pPr>
              <w:spacing w:after="0" w:before="0"/>
            </w:pPr>
            <w:r/>
            <w:r>
              <w:rPr>
                <w:rFonts w:ascii="Aptos" w:hAnsi="Aptos"/>
                <w:b w:val="0"/>
                <w:color w:val="172D2A"/>
                <w:sz w:val="16"/>
              </w:rPr>
              <w:t>62</w:t>
            </w:r>
          </w:p>
        </w:tc>
        <w:tc>
          <w:tcPr>
            <w:tcW w:type="dxa" w:w="1728"/>
            <w:vAlign w:val="center"/>
          </w:tcPr>
          <w:p>
            <w:pPr>
              <w:spacing w:after="0" w:before="0"/>
            </w:pPr>
            <w:r/>
            <w:r>
              <w:rPr>
                <w:rFonts w:ascii="Aptos" w:hAnsi="Aptos"/>
                <w:b w:val="0"/>
                <w:color w:val="172D2A"/>
                <w:sz w:val="16"/>
              </w:rPr>
              <w:t>$1.97B</w:t>
            </w:r>
          </w:p>
        </w:tc>
        <w:tc>
          <w:tcPr>
            <w:tcW w:type="dxa" w:w="3816"/>
            <w:vAlign w:val="center"/>
          </w:tcPr>
          <w:p>
            <w:pPr>
              <w:spacing w:after="0" w:before="0"/>
            </w:pPr>
            <w:r/>
            <w:r>
              <w:rPr>
                <w:rFonts w:ascii="Aptos" w:hAnsi="Aptos"/>
                <w:b w:val="0"/>
                <w:color w:val="172D2A"/>
                <w:sz w:val="16"/>
              </w:rPr>
              <w:t>Exact raw label only.</w:t>
            </w:r>
          </w:p>
        </w:tc>
      </w:tr>
      <w:tr>
        <w:trPr>
          <w:cantSplit/>
        </w:trPr>
        <w:tc>
          <w:tcPr>
            <w:tcW w:type="dxa" w:w="2448"/>
            <w:vAlign w:val="center"/>
            <w:shd w:fill="F0F3ED"/>
          </w:tcPr>
          <w:p>
            <w:pPr>
              <w:spacing w:after="0" w:before="0"/>
            </w:pPr>
            <w:r/>
            <w:r>
              <w:rPr>
                <w:rFonts w:ascii="Aptos" w:hAnsi="Aptos"/>
                <w:b w:val="0"/>
                <w:color w:val="172D2A"/>
                <w:sz w:val="16"/>
              </w:rPr>
              <w:t>Unknown</w:t>
            </w:r>
          </w:p>
        </w:tc>
        <w:tc>
          <w:tcPr>
            <w:tcW w:type="dxa" w:w="1080"/>
            <w:vAlign w:val="center"/>
            <w:shd w:fill="F0F3ED"/>
          </w:tcPr>
          <w:p>
            <w:pPr>
              <w:spacing w:after="0" w:before="0"/>
            </w:pPr>
            <w:r/>
            <w:r>
              <w:rPr>
                <w:rFonts w:ascii="Aptos" w:hAnsi="Aptos"/>
                <w:b w:val="0"/>
                <w:color w:val="172D2A"/>
                <w:sz w:val="16"/>
              </w:rPr>
              <w:t>171</w:t>
            </w:r>
          </w:p>
        </w:tc>
        <w:tc>
          <w:tcPr>
            <w:tcW w:type="dxa" w:w="1728"/>
            <w:vAlign w:val="center"/>
            <w:shd w:fill="F0F3ED"/>
          </w:tcPr>
          <w:p>
            <w:pPr>
              <w:spacing w:after="0" w:before="0"/>
            </w:pPr>
            <w:r/>
            <w:r>
              <w:rPr>
                <w:rFonts w:ascii="Aptos" w:hAnsi="Aptos"/>
                <w:b w:val="0"/>
                <w:color w:val="172D2A"/>
                <w:sz w:val="16"/>
              </w:rPr>
              <w:t>$1.23B</w:t>
            </w:r>
          </w:p>
        </w:tc>
        <w:tc>
          <w:tcPr>
            <w:tcW w:type="dxa" w:w="3816"/>
            <w:vAlign w:val="center"/>
            <w:shd w:fill="F0F3ED"/>
          </w:tcPr>
          <w:p>
            <w:pPr>
              <w:spacing w:after="0" w:before="0"/>
            </w:pPr>
            <w:r/>
            <w:r>
              <w:rPr>
                <w:rFonts w:ascii="Aptos" w:hAnsi="Aptos"/>
                <w:b w:val="0"/>
                <w:color w:val="172D2A"/>
                <w:sz w:val="16"/>
              </w:rPr>
              <w:t>Unknown should remain visible as a data-quality category.</w:t>
            </w:r>
          </w:p>
        </w:tc>
      </w:tr>
    </w:tbl>
    <w:p>
      <w:pPr>
        <w:spacing w:after="0"/>
      </w:pPr>
    </w:p>
    <w:p>
      <w:pPr>
        <w:pStyle w:val="Heading2"/>
      </w:pPr>
      <w:r>
        <w:t>Implication</w:t>
      </w:r>
    </w:p>
    <w:p>
      <w:pPr>
        <w:spacing w:after="100" w:line="259" w:lineRule="auto"/>
      </w:pPr>
      <w:r>
        <w:rPr>
          <w:rFonts w:ascii="Aptos" w:hAnsi="Aptos"/>
          <w:i w:val="0"/>
          <w:sz w:val="20"/>
        </w:rPr>
        <w:t>Do not publish a definitive industry leaderboard until a controlled taxonomy maps spelling/case variants and semantically related labels (for example, e-commerce, marketplace, and M-commerce) into documented canonical categories. Keep the raw label alongside the canonical label for auditability.</w:t>
      </w:r>
    </w:p>
    <w:p>
      <w:r>
        <w:br w:type="page"/>
      </w:r>
    </w:p>
    <w:p>
      <w:pPr>
        <w:spacing w:after="40"/>
      </w:pPr>
      <w:r>
        <w:rPr>
          <w:rFonts w:ascii="Aptos" w:hAnsi="Aptos"/>
          <w:b/>
          <w:color w:val="D86A4A"/>
          <w:sz w:val="16"/>
        </w:rPr>
        <w:t>07 | GEOGRAPHY</w:t>
      </w:r>
    </w:p>
    <w:p>
      <w:pPr>
        <w:spacing w:after="80"/>
      </w:pPr>
      <w:r>
        <w:rPr>
          <w:rFonts w:ascii="Aptos Display" w:hAnsi="Aptos Display"/>
          <w:b/>
          <w:color w:val="183F3A"/>
          <w:sz w:val="44"/>
        </w:rPr>
        <w:t>Five city labels account for 84.0% of disclosed funding</w:t>
      </w:r>
    </w:p>
    <w:p>
      <w:pPr>
        <w:spacing w:after="100" w:line="259" w:lineRule="auto"/>
      </w:pPr>
      <w:r>
        <w:rPr>
          <w:rFonts w:ascii="Aptos" w:hAnsi="Aptos"/>
          <w:i w:val="0"/>
          <w:color w:val="66736D"/>
          <w:sz w:val="20"/>
        </w:rPr>
        <w:t>City totals are aggregated as they appear in the cleaned CSV. The city field still includes foreign locations, country/state labels, and “Unknown”, so geography should be standardized before operational use.</w:t>
      </w:r>
    </w:p>
    <w:p>
      <w:pPr>
        <w:spacing w:after="40"/>
        <w:jc w:val="center"/>
      </w:pPr>
      <w:r>
        <w:drawing>
          <wp:inline xmlns:a="http://schemas.openxmlformats.org/drawingml/2006/main" xmlns:pic="http://schemas.openxmlformats.org/drawingml/2006/picture">
            <wp:extent cx="5852160" cy="2813161"/>
            <wp:docPr id="4" name="Picture 4"/>
            <wp:cNvGraphicFramePr>
              <a:graphicFrameLocks noChangeAspect="1"/>
            </wp:cNvGraphicFramePr>
            <a:graphic>
              <a:graphicData uri="http://schemas.openxmlformats.org/drawingml/2006/picture">
                <pic:pic>
                  <pic:nvPicPr>
                    <pic:cNvPr id="0" name="city_funding.png"/>
                    <pic:cNvPicPr/>
                  </pic:nvPicPr>
                  <pic:blipFill>
                    <a:blip r:embed="rId14"/>
                    <a:stretch>
                      <a:fillRect/>
                    </a:stretch>
                  </pic:blipFill>
                  <pic:spPr>
                    <a:xfrm>
                      <a:off x="0" y="0"/>
                      <a:ext cx="5852160" cy="2813161"/>
                    </a:xfrm>
                    <a:prstGeom prst="rect"/>
                  </pic:spPr>
                </pic:pic>
              </a:graphicData>
            </a:graphic>
          </wp:inline>
        </w:drawing>
      </w:r>
    </w:p>
    <w:p>
      <w:pPr>
        <w:spacing w:after="120"/>
        <w:jc w:val="center"/>
      </w:pPr>
      <w:r>
        <w:rPr>
          <w:rFonts w:ascii="Aptos" w:hAnsi="Aptos"/>
          <w:i/>
          <w:color w:val="66736D"/>
          <w:sz w:val="16"/>
        </w:rPr>
        <w:t>Top five city labels ranked by sum of numeric Amount_USD.</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trPr>
        <w:tc>
          <w:tcPr>
            <w:tcW w:type="dxa" w:w="2016"/>
            <w:vAlign w:val="center"/>
            <w:shd w:fill="183F3A"/>
          </w:tcPr>
          <w:p>
            <w:pPr>
              <w:spacing w:after="0" w:before="0"/>
            </w:pPr>
            <w:r/>
            <w:r>
              <w:rPr>
                <w:rFonts w:ascii="Aptos" w:hAnsi="Aptos"/>
                <w:b/>
                <w:color w:val="FFFFFF"/>
                <w:sz w:val="16"/>
              </w:rPr>
              <w:t>City label</w:t>
            </w:r>
          </w:p>
        </w:tc>
        <w:tc>
          <w:tcPr>
            <w:tcW w:type="dxa" w:w="1296"/>
            <w:vAlign w:val="center"/>
            <w:shd w:fill="183F3A"/>
          </w:tcPr>
          <w:p>
            <w:pPr>
              <w:spacing w:after="0" w:before="0"/>
            </w:pPr>
            <w:r/>
            <w:r>
              <w:rPr>
                <w:rFonts w:ascii="Aptos" w:hAnsi="Aptos"/>
                <w:b/>
                <w:color w:val="FFFFFF"/>
                <w:sz w:val="16"/>
              </w:rPr>
              <w:t>Records</w:t>
            </w:r>
          </w:p>
        </w:tc>
        <w:tc>
          <w:tcPr>
            <w:tcW w:type="dxa" w:w="2160"/>
            <w:vAlign w:val="center"/>
            <w:shd w:fill="183F3A"/>
          </w:tcPr>
          <w:p>
            <w:pPr>
              <w:spacing w:after="0" w:before="0"/>
            </w:pPr>
            <w:r/>
            <w:r>
              <w:rPr>
                <w:rFonts w:ascii="Aptos" w:hAnsi="Aptos"/>
                <w:b/>
                <w:color w:val="FFFFFF"/>
                <w:sz w:val="16"/>
              </w:rPr>
              <w:t>Records with numeric amount</w:t>
            </w:r>
          </w:p>
        </w:tc>
        <w:tc>
          <w:tcPr>
            <w:tcW w:type="dxa" w:w="1800"/>
            <w:vAlign w:val="center"/>
            <w:shd w:fill="183F3A"/>
          </w:tcPr>
          <w:p>
            <w:pPr>
              <w:spacing w:after="0" w:before="0"/>
            </w:pPr>
            <w:r/>
            <w:r>
              <w:rPr>
                <w:rFonts w:ascii="Aptos" w:hAnsi="Aptos"/>
                <w:b/>
                <w:color w:val="FFFFFF"/>
                <w:sz w:val="16"/>
              </w:rPr>
              <w:t>Funding</w:t>
            </w:r>
          </w:p>
        </w:tc>
        <w:tc>
          <w:tcPr>
            <w:tcW w:type="dxa" w:w="1512"/>
            <w:vAlign w:val="center"/>
            <w:shd w:fill="183F3A"/>
          </w:tcPr>
          <w:p>
            <w:pPr>
              <w:spacing w:after="0" w:before="0"/>
            </w:pPr>
            <w:r/>
            <w:r>
              <w:rPr>
                <w:rFonts w:ascii="Aptos" w:hAnsi="Aptos"/>
                <w:b/>
                <w:color w:val="FFFFFF"/>
                <w:sz w:val="16"/>
              </w:rPr>
              <w:t>Share of total</w:t>
            </w:r>
          </w:p>
        </w:tc>
      </w:tr>
      <w:tr>
        <w:trPr>
          <w:cantSplit/>
        </w:trPr>
        <w:tc>
          <w:tcPr>
            <w:tcW w:type="dxa" w:w="2016"/>
            <w:vAlign w:val="center"/>
          </w:tcPr>
          <w:p>
            <w:pPr>
              <w:spacing w:after="0" w:before="0"/>
            </w:pPr>
            <w:r/>
            <w:r>
              <w:rPr>
                <w:rFonts w:ascii="Aptos" w:hAnsi="Aptos"/>
                <w:b w:val="0"/>
                <w:color w:val="172D2A"/>
                <w:sz w:val="16"/>
              </w:rPr>
              <w:t>Bengaluru</w:t>
            </w:r>
          </w:p>
        </w:tc>
        <w:tc>
          <w:tcPr>
            <w:tcW w:type="dxa" w:w="1296"/>
            <w:vAlign w:val="center"/>
          </w:tcPr>
          <w:p>
            <w:pPr>
              <w:spacing w:after="0" w:before="0"/>
            </w:pPr>
            <w:r/>
            <w:r>
              <w:rPr>
                <w:rFonts w:ascii="Aptos" w:hAnsi="Aptos"/>
                <w:b w:val="0"/>
                <w:color w:val="172D2A"/>
                <w:sz w:val="16"/>
              </w:rPr>
              <w:t>850</w:t>
            </w:r>
          </w:p>
        </w:tc>
        <w:tc>
          <w:tcPr>
            <w:tcW w:type="dxa" w:w="2160"/>
            <w:vAlign w:val="center"/>
          </w:tcPr>
          <w:p>
            <w:pPr>
              <w:spacing w:after="0" w:before="0"/>
            </w:pPr>
            <w:r/>
            <w:r>
              <w:rPr>
                <w:rFonts w:ascii="Aptos" w:hAnsi="Aptos"/>
                <w:b w:val="0"/>
                <w:color w:val="172D2A"/>
                <w:sz w:val="16"/>
              </w:rPr>
              <w:t>592</w:t>
            </w:r>
          </w:p>
        </w:tc>
        <w:tc>
          <w:tcPr>
            <w:tcW w:type="dxa" w:w="1800"/>
            <w:vAlign w:val="center"/>
          </w:tcPr>
          <w:p>
            <w:pPr>
              <w:spacing w:after="0" w:before="0"/>
            </w:pPr>
            <w:r/>
            <w:r>
              <w:rPr>
                <w:rFonts w:ascii="Aptos" w:hAnsi="Aptos"/>
                <w:b w:val="0"/>
                <w:color w:val="172D2A"/>
                <w:sz w:val="16"/>
              </w:rPr>
              <w:t>$18.533B</w:t>
            </w:r>
          </w:p>
        </w:tc>
        <w:tc>
          <w:tcPr>
            <w:tcW w:type="dxa" w:w="1512"/>
            <w:vAlign w:val="center"/>
          </w:tcPr>
          <w:p>
            <w:pPr>
              <w:spacing w:after="0" w:before="0"/>
            </w:pPr>
            <w:r/>
            <w:r>
              <w:rPr>
                <w:rFonts w:ascii="Aptos" w:hAnsi="Aptos"/>
                <w:b w:val="0"/>
                <w:color w:val="172D2A"/>
                <w:sz w:val="16"/>
              </w:rPr>
              <w:t>48.6%</w:t>
            </w:r>
          </w:p>
        </w:tc>
      </w:tr>
      <w:tr>
        <w:trPr>
          <w:cantSplit/>
        </w:trPr>
        <w:tc>
          <w:tcPr>
            <w:tcW w:type="dxa" w:w="2016"/>
            <w:vAlign w:val="center"/>
            <w:shd w:fill="F0F3ED"/>
          </w:tcPr>
          <w:p>
            <w:pPr>
              <w:spacing w:after="0" w:before="0"/>
            </w:pPr>
            <w:r/>
            <w:r>
              <w:rPr>
                <w:rFonts w:ascii="Aptos" w:hAnsi="Aptos"/>
                <w:b w:val="0"/>
                <w:color w:val="172D2A"/>
                <w:sz w:val="16"/>
              </w:rPr>
              <w:t>Mumbai</w:t>
            </w:r>
          </w:p>
        </w:tc>
        <w:tc>
          <w:tcPr>
            <w:tcW w:type="dxa" w:w="1296"/>
            <w:vAlign w:val="center"/>
            <w:shd w:fill="F0F3ED"/>
          </w:tcPr>
          <w:p>
            <w:pPr>
              <w:spacing w:after="0" w:before="0"/>
            </w:pPr>
            <w:r/>
            <w:r>
              <w:rPr>
                <w:rFonts w:ascii="Aptos" w:hAnsi="Aptos"/>
                <w:b w:val="0"/>
                <w:color w:val="172D2A"/>
                <w:sz w:val="16"/>
              </w:rPr>
              <w:t>573</w:t>
            </w:r>
          </w:p>
        </w:tc>
        <w:tc>
          <w:tcPr>
            <w:tcW w:type="dxa" w:w="2160"/>
            <w:vAlign w:val="center"/>
            <w:shd w:fill="F0F3ED"/>
          </w:tcPr>
          <w:p>
            <w:pPr>
              <w:spacing w:after="0" w:before="0"/>
            </w:pPr>
            <w:r/>
            <w:r>
              <w:rPr>
                <w:rFonts w:ascii="Aptos" w:hAnsi="Aptos"/>
                <w:b w:val="0"/>
                <w:color w:val="172D2A"/>
                <w:sz w:val="16"/>
              </w:rPr>
              <w:t>407</w:t>
            </w:r>
          </w:p>
        </w:tc>
        <w:tc>
          <w:tcPr>
            <w:tcW w:type="dxa" w:w="1800"/>
            <w:vAlign w:val="center"/>
            <w:shd w:fill="F0F3ED"/>
          </w:tcPr>
          <w:p>
            <w:pPr>
              <w:spacing w:after="0" w:before="0"/>
            </w:pPr>
            <w:r/>
            <w:r>
              <w:rPr>
                <w:rFonts w:ascii="Aptos" w:hAnsi="Aptos"/>
                <w:b w:val="0"/>
                <w:color w:val="172D2A"/>
                <w:sz w:val="16"/>
              </w:rPr>
              <w:t>$4.959B</w:t>
            </w:r>
          </w:p>
        </w:tc>
        <w:tc>
          <w:tcPr>
            <w:tcW w:type="dxa" w:w="1512"/>
            <w:vAlign w:val="center"/>
            <w:shd w:fill="F0F3ED"/>
          </w:tcPr>
          <w:p>
            <w:pPr>
              <w:spacing w:after="0" w:before="0"/>
            </w:pPr>
            <w:r/>
            <w:r>
              <w:rPr>
                <w:rFonts w:ascii="Aptos" w:hAnsi="Aptos"/>
                <w:b w:val="0"/>
                <w:color w:val="172D2A"/>
                <w:sz w:val="16"/>
              </w:rPr>
              <w:t>13.0%</w:t>
            </w:r>
          </w:p>
        </w:tc>
      </w:tr>
      <w:tr>
        <w:trPr>
          <w:cantSplit/>
        </w:trPr>
        <w:tc>
          <w:tcPr>
            <w:tcW w:type="dxa" w:w="2016"/>
            <w:vAlign w:val="center"/>
          </w:tcPr>
          <w:p>
            <w:pPr>
              <w:spacing w:after="0" w:before="0"/>
            </w:pPr>
            <w:r/>
            <w:r>
              <w:rPr>
                <w:rFonts w:ascii="Aptos" w:hAnsi="Aptos"/>
                <w:b w:val="0"/>
                <w:color w:val="172D2A"/>
                <w:sz w:val="16"/>
              </w:rPr>
              <w:t>Gurugram</w:t>
            </w:r>
          </w:p>
        </w:tc>
        <w:tc>
          <w:tcPr>
            <w:tcW w:type="dxa" w:w="1296"/>
            <w:vAlign w:val="center"/>
          </w:tcPr>
          <w:p>
            <w:pPr>
              <w:spacing w:after="0" w:before="0"/>
            </w:pPr>
            <w:r/>
            <w:r>
              <w:rPr>
                <w:rFonts w:ascii="Aptos" w:hAnsi="Aptos"/>
                <w:b w:val="0"/>
                <w:color w:val="172D2A"/>
                <w:sz w:val="16"/>
              </w:rPr>
              <w:t>342</w:t>
            </w:r>
          </w:p>
        </w:tc>
        <w:tc>
          <w:tcPr>
            <w:tcW w:type="dxa" w:w="2160"/>
            <w:vAlign w:val="center"/>
          </w:tcPr>
          <w:p>
            <w:pPr>
              <w:spacing w:after="0" w:before="0"/>
            </w:pPr>
            <w:r/>
            <w:r>
              <w:rPr>
                <w:rFonts w:ascii="Aptos" w:hAnsi="Aptos"/>
                <w:b w:val="0"/>
                <w:color w:val="172D2A"/>
                <w:sz w:val="16"/>
              </w:rPr>
              <w:t>244</w:t>
            </w:r>
          </w:p>
        </w:tc>
        <w:tc>
          <w:tcPr>
            <w:tcW w:type="dxa" w:w="1800"/>
            <w:vAlign w:val="center"/>
          </w:tcPr>
          <w:p>
            <w:pPr>
              <w:spacing w:after="0" w:before="0"/>
            </w:pPr>
            <w:r/>
            <w:r>
              <w:rPr>
                <w:rFonts w:ascii="Aptos" w:hAnsi="Aptos"/>
                <w:b w:val="0"/>
                <w:color w:val="172D2A"/>
                <w:sz w:val="16"/>
              </w:rPr>
              <w:t>$3.878B</w:t>
            </w:r>
          </w:p>
        </w:tc>
        <w:tc>
          <w:tcPr>
            <w:tcW w:type="dxa" w:w="1512"/>
            <w:vAlign w:val="center"/>
          </w:tcPr>
          <w:p>
            <w:pPr>
              <w:spacing w:after="0" w:before="0"/>
            </w:pPr>
            <w:r/>
            <w:r>
              <w:rPr>
                <w:rFonts w:ascii="Aptos" w:hAnsi="Aptos"/>
                <w:b w:val="0"/>
                <w:color w:val="172D2A"/>
                <w:sz w:val="16"/>
              </w:rPr>
              <w:t>10.2%</w:t>
            </w:r>
          </w:p>
        </w:tc>
      </w:tr>
      <w:tr>
        <w:trPr>
          <w:cantSplit/>
        </w:trPr>
        <w:tc>
          <w:tcPr>
            <w:tcW w:type="dxa" w:w="2016"/>
            <w:vAlign w:val="center"/>
            <w:shd w:fill="F0F3ED"/>
          </w:tcPr>
          <w:p>
            <w:pPr>
              <w:spacing w:after="0" w:before="0"/>
            </w:pPr>
            <w:r/>
            <w:r>
              <w:rPr>
                <w:rFonts w:ascii="Aptos" w:hAnsi="Aptos"/>
                <w:b w:val="0"/>
                <w:color w:val="172D2A"/>
                <w:sz w:val="16"/>
              </w:rPr>
              <w:t>New Delhi</w:t>
            </w:r>
          </w:p>
        </w:tc>
        <w:tc>
          <w:tcPr>
            <w:tcW w:type="dxa" w:w="1296"/>
            <w:vAlign w:val="center"/>
            <w:shd w:fill="F0F3ED"/>
          </w:tcPr>
          <w:p>
            <w:pPr>
              <w:spacing w:after="0" w:before="0"/>
            </w:pPr>
            <w:r/>
            <w:r>
              <w:rPr>
                <w:rFonts w:ascii="Aptos" w:hAnsi="Aptos"/>
                <w:b w:val="0"/>
                <w:color w:val="172D2A"/>
                <w:sz w:val="16"/>
              </w:rPr>
              <w:t>463</w:t>
            </w:r>
          </w:p>
        </w:tc>
        <w:tc>
          <w:tcPr>
            <w:tcW w:type="dxa" w:w="2160"/>
            <w:vAlign w:val="center"/>
            <w:shd w:fill="F0F3ED"/>
          </w:tcPr>
          <w:p>
            <w:pPr>
              <w:spacing w:after="0" w:before="0"/>
            </w:pPr>
            <w:r/>
            <w:r>
              <w:rPr>
                <w:rFonts w:ascii="Aptos" w:hAnsi="Aptos"/>
                <w:b w:val="0"/>
                <w:color w:val="172D2A"/>
                <w:sz w:val="16"/>
              </w:rPr>
              <w:t>271</w:t>
            </w:r>
          </w:p>
        </w:tc>
        <w:tc>
          <w:tcPr>
            <w:tcW w:type="dxa" w:w="1800"/>
            <w:vAlign w:val="center"/>
            <w:shd w:fill="F0F3ED"/>
          </w:tcPr>
          <w:p>
            <w:pPr>
              <w:spacing w:after="0" w:before="0"/>
            </w:pPr>
            <w:r/>
            <w:r>
              <w:rPr>
                <w:rFonts w:ascii="Aptos" w:hAnsi="Aptos"/>
                <w:b w:val="0"/>
                <w:color w:val="172D2A"/>
                <w:sz w:val="16"/>
              </w:rPr>
              <w:t>$3.371B</w:t>
            </w:r>
          </w:p>
        </w:tc>
        <w:tc>
          <w:tcPr>
            <w:tcW w:type="dxa" w:w="1512"/>
            <w:vAlign w:val="center"/>
            <w:shd w:fill="F0F3ED"/>
          </w:tcPr>
          <w:p>
            <w:pPr>
              <w:spacing w:after="0" w:before="0"/>
            </w:pPr>
            <w:r/>
            <w:r>
              <w:rPr>
                <w:rFonts w:ascii="Aptos" w:hAnsi="Aptos"/>
                <w:b w:val="0"/>
                <w:color w:val="172D2A"/>
                <w:sz w:val="16"/>
              </w:rPr>
              <w:t>8.8%</w:t>
            </w:r>
          </w:p>
        </w:tc>
      </w:tr>
      <w:tr>
        <w:trPr>
          <w:cantSplit/>
        </w:trPr>
        <w:tc>
          <w:tcPr>
            <w:tcW w:type="dxa" w:w="2016"/>
            <w:vAlign w:val="center"/>
          </w:tcPr>
          <w:p>
            <w:pPr>
              <w:spacing w:after="0" w:before="0"/>
            </w:pPr>
            <w:r/>
            <w:r>
              <w:rPr>
                <w:rFonts w:ascii="Aptos" w:hAnsi="Aptos"/>
                <w:b w:val="0"/>
                <w:color w:val="172D2A"/>
                <w:sz w:val="16"/>
              </w:rPr>
              <w:t>Noida</w:t>
            </w:r>
          </w:p>
        </w:tc>
        <w:tc>
          <w:tcPr>
            <w:tcW w:type="dxa" w:w="1296"/>
            <w:vAlign w:val="center"/>
          </w:tcPr>
          <w:p>
            <w:pPr>
              <w:spacing w:after="0" w:before="0"/>
            </w:pPr>
            <w:r/>
            <w:r>
              <w:rPr>
                <w:rFonts w:ascii="Aptos" w:hAnsi="Aptos"/>
                <w:b w:val="0"/>
                <w:color w:val="172D2A"/>
                <w:sz w:val="16"/>
              </w:rPr>
              <w:t>94</w:t>
            </w:r>
          </w:p>
        </w:tc>
        <w:tc>
          <w:tcPr>
            <w:tcW w:type="dxa" w:w="2160"/>
            <w:vAlign w:val="center"/>
          </w:tcPr>
          <w:p>
            <w:pPr>
              <w:spacing w:after="0" w:before="0"/>
            </w:pPr>
            <w:r/>
            <w:r>
              <w:rPr>
                <w:rFonts w:ascii="Aptos" w:hAnsi="Aptos"/>
                <w:b w:val="0"/>
                <w:color w:val="172D2A"/>
                <w:sz w:val="16"/>
              </w:rPr>
              <w:t>57</w:t>
            </w:r>
          </w:p>
        </w:tc>
        <w:tc>
          <w:tcPr>
            <w:tcW w:type="dxa" w:w="1800"/>
            <w:vAlign w:val="center"/>
          </w:tcPr>
          <w:p>
            <w:pPr>
              <w:spacing w:after="0" w:before="0"/>
            </w:pPr>
            <w:r/>
            <w:r>
              <w:rPr>
                <w:rFonts w:ascii="Aptos" w:hAnsi="Aptos"/>
                <w:b w:val="0"/>
                <w:color w:val="172D2A"/>
                <w:sz w:val="16"/>
              </w:rPr>
              <w:t>$1.283B</w:t>
            </w:r>
          </w:p>
        </w:tc>
        <w:tc>
          <w:tcPr>
            <w:tcW w:type="dxa" w:w="1512"/>
            <w:vAlign w:val="center"/>
          </w:tcPr>
          <w:p>
            <w:pPr>
              <w:spacing w:after="0" w:before="0"/>
            </w:pPr>
            <w:r/>
            <w:r>
              <w:rPr>
                <w:rFonts w:ascii="Aptos" w:hAnsi="Aptos"/>
                <w:b w:val="0"/>
                <w:color w:val="172D2A"/>
                <w:sz w:val="16"/>
              </w:rPr>
              <w:t>3.4%</w:t>
            </w:r>
          </w:p>
        </w:tc>
      </w:tr>
    </w:tbl>
    <w:p>
      <w:pPr>
        <w:spacing w:after="0"/>
      </w:pPr>
    </w:p>
    <w:p>
      <w:pPr>
        <w:pStyle w:val="Heading2"/>
      </w:pPr>
      <w:r>
        <w:t>Key geographic insight</w:t>
      </w:r>
    </w:p>
    <w:p>
      <w:pPr>
        <w:spacing w:after="100" w:line="259" w:lineRule="auto"/>
      </w:pPr>
      <w:r>
        <w:rPr>
          <w:rFonts w:ascii="Aptos" w:hAnsi="Aptos"/>
          <w:i w:val="0"/>
          <w:sz w:val="20"/>
        </w:rPr>
        <w:t>Bengaluru contributes $18.53B, or 48.6% of disclosed funding in this file. The top five city labels contribute $32.02B (84.0%). This is strong concentration in the observed data, but not a census of the entire Indian startup ecosystem.</w:t>
      </w:r>
    </w:p>
    <w:p>
      <w:pPr>
        <w:pStyle w:val="Heading2"/>
      </w:pPr>
      <w:r>
        <w:t>Required geography controls</w:t>
      </w:r>
    </w:p>
    <w:p>
      <w:pPr>
        <w:pStyle w:val="ListBullet"/>
        <w:spacing w:after="60" w:line="247" w:lineRule="auto"/>
      </w:pPr>
      <w:r>
        <w:rPr>
          <w:rFonts w:ascii="Aptos" w:hAnsi="Aptos"/>
          <w:color w:val="172D2A"/>
          <w:sz w:val="19"/>
        </w:rPr>
        <w:t>Separate City, State/Region, and Country fields. Treat “India”, “US/USA”, state names (for example, Haryana or Karnataka), and foreign cities as distinct data-quality cases rather than city geographies.</w:t>
      </w:r>
    </w:p>
    <w:p>
      <w:pPr>
        <w:pStyle w:val="ListBullet"/>
        <w:spacing w:after="60" w:line="247" w:lineRule="auto"/>
      </w:pPr>
      <w:r>
        <w:rPr>
          <w:rFonts w:ascii="Aptos" w:hAnsi="Aptos"/>
          <w:color w:val="172D2A"/>
          <w:sz w:val="19"/>
        </w:rPr>
        <w:t>Preserve the source City field; create an auditable City_Canonical and a Geography_Status field (India city / foreign city / country-state / unknown / ambiguous).</w:t>
      </w:r>
    </w:p>
    <w:p>
      <w:pPr>
        <w:pStyle w:val="ListBullet"/>
        <w:spacing w:after="60" w:line="247" w:lineRule="auto"/>
      </w:pPr>
      <w:r>
        <w:rPr>
          <w:rFonts w:ascii="Aptos" w:hAnsi="Aptos"/>
          <w:color w:val="172D2A"/>
          <w:sz w:val="19"/>
        </w:rPr>
        <w:t>Use a city bar chart as the default; use a map only after geocoding and country matching are verified.</w:t>
      </w:r>
    </w:p>
    <w:p>
      <w:r>
        <w:br w:type="page"/>
      </w:r>
    </w:p>
    <w:p>
      <w:pPr>
        <w:spacing w:after="40"/>
      </w:pPr>
      <w:r>
        <w:rPr>
          <w:rFonts w:ascii="Aptos" w:hAnsi="Aptos"/>
          <w:b/>
          <w:color w:val="D86A4A"/>
          <w:sz w:val="16"/>
        </w:rPr>
        <w:t>08 | STAGE &amp; DEAL SIZE</w:t>
      </w:r>
    </w:p>
    <w:p>
      <w:pPr>
        <w:spacing w:after="80"/>
      </w:pPr>
      <w:r>
        <w:rPr>
          <w:rFonts w:ascii="Aptos Display" w:hAnsi="Aptos Display"/>
          <w:b/>
          <w:color w:val="183F3A"/>
          <w:sz w:val="44"/>
        </w:rPr>
        <w:t>Private Equity dominates value; averages are skewed by large rounds</w:t>
      </w:r>
    </w:p>
    <w:p>
      <w:pPr>
        <w:spacing w:after="100" w:line="259" w:lineRule="auto"/>
      </w:pPr>
      <w:r>
        <w:rPr>
          <w:rFonts w:ascii="Aptos" w:hAnsi="Aptos"/>
          <w:i w:val="0"/>
          <w:color w:val="66736D"/>
          <w:sz w:val="20"/>
        </w:rPr>
        <w:t>Stage results use the supplied Investment_Type_Clean column. This avoids mixing it silently with the separate Power BI “Funding Stage” grouping.</w:t>
      </w:r>
    </w:p>
    <w:p>
      <w:pPr>
        <w:spacing w:after="40"/>
        <w:jc w:val="center"/>
      </w:pPr>
      <w:r>
        <w:drawing>
          <wp:inline xmlns:a="http://schemas.openxmlformats.org/drawingml/2006/main" xmlns:pic="http://schemas.openxmlformats.org/drawingml/2006/picture">
            <wp:extent cx="5852160" cy="2852513"/>
            <wp:docPr id="5" name="Picture 5"/>
            <wp:cNvGraphicFramePr>
              <a:graphicFrameLocks noChangeAspect="1"/>
            </wp:cNvGraphicFramePr>
            <a:graphic>
              <a:graphicData uri="http://schemas.openxmlformats.org/drawingml/2006/picture">
                <pic:pic>
                  <pic:nvPicPr>
                    <pic:cNvPr id="0" name="stage_funding.png"/>
                    <pic:cNvPicPr/>
                  </pic:nvPicPr>
                  <pic:blipFill>
                    <a:blip r:embed="rId15"/>
                    <a:stretch>
                      <a:fillRect/>
                    </a:stretch>
                  </pic:blipFill>
                  <pic:spPr>
                    <a:xfrm>
                      <a:off x="0" y="0"/>
                      <a:ext cx="5852160" cy="2852513"/>
                    </a:xfrm>
                    <a:prstGeom prst="rect"/>
                  </pic:spPr>
                </pic:pic>
              </a:graphicData>
            </a:graphic>
          </wp:inline>
        </w:drawing>
      </w:r>
    </w:p>
    <w:p>
      <w:pPr>
        <w:spacing w:after="120"/>
        <w:jc w:val="center"/>
      </w:pPr>
      <w:r>
        <w:rPr>
          <w:rFonts w:ascii="Aptos" w:hAnsi="Aptos"/>
          <w:i/>
          <w:color w:val="66736D"/>
          <w:sz w:val="16"/>
        </w:rPr>
        <w:t>Top seven Investment_Type_Clean categories by disclosed funding; sums exclude rows with blank Amount_USD.</w:t>
      </w:r>
    </w:p>
    <w:tbl>
      <w:tblPr>
        <w:tblStyle w:val="TableGrid"/>
        <w:tblW w:type="auto" w:w="0"/>
        <w:jc w:val="center"/>
        <w:tblLook w:firstColumn="1" w:firstRow="1" w:lastColumn="0" w:lastRow="0" w:noHBand="0" w:noVBand="1" w:val="04A0"/>
      </w:tblPr>
      <w:tblGrid>
        <w:gridCol w:w="1694"/>
        <w:gridCol w:w="1694"/>
        <w:gridCol w:w="1694"/>
        <w:gridCol w:w="1694"/>
        <w:gridCol w:w="1694"/>
        <w:gridCol w:w="1694"/>
      </w:tblGrid>
      <w:tr>
        <w:trPr>
          <w:tblHeader w:val="true"/>
        </w:trPr>
        <w:tc>
          <w:tcPr>
            <w:tcW w:type="dxa" w:w="1584"/>
            <w:vAlign w:val="center"/>
            <w:shd w:fill="183F3A"/>
          </w:tcPr>
          <w:p>
            <w:pPr>
              <w:spacing w:after="0" w:before="0"/>
            </w:pPr>
            <w:r/>
            <w:r>
              <w:rPr>
                <w:rFonts w:ascii="Aptos" w:hAnsi="Aptos"/>
                <w:b/>
                <w:color w:val="FFFFFF"/>
                <w:sz w:val="15"/>
              </w:rPr>
              <w:t>Investment type</w:t>
            </w:r>
          </w:p>
        </w:tc>
        <w:tc>
          <w:tcPr>
            <w:tcW w:type="dxa" w:w="1080"/>
            <w:vAlign w:val="center"/>
            <w:shd w:fill="183F3A"/>
          </w:tcPr>
          <w:p>
            <w:pPr>
              <w:spacing w:after="0" w:before="0"/>
            </w:pPr>
            <w:r/>
            <w:r>
              <w:rPr>
                <w:rFonts w:ascii="Aptos" w:hAnsi="Aptos"/>
                <w:b/>
                <w:color w:val="FFFFFF"/>
                <w:sz w:val="15"/>
              </w:rPr>
              <w:t>Records</w:t>
            </w:r>
          </w:p>
        </w:tc>
        <w:tc>
          <w:tcPr>
            <w:tcW w:type="dxa" w:w="1512"/>
            <w:vAlign w:val="center"/>
            <w:shd w:fill="183F3A"/>
          </w:tcPr>
          <w:p>
            <w:pPr>
              <w:spacing w:after="0" w:before="0"/>
            </w:pPr>
            <w:r/>
            <w:r>
              <w:rPr>
                <w:rFonts w:ascii="Aptos" w:hAnsi="Aptos"/>
                <w:b/>
                <w:color w:val="FFFFFF"/>
                <w:sz w:val="15"/>
              </w:rPr>
              <w:t>Disclosed records</w:t>
            </w:r>
          </w:p>
        </w:tc>
        <w:tc>
          <w:tcPr>
            <w:tcW w:type="dxa" w:w="1512"/>
            <w:vAlign w:val="center"/>
            <w:shd w:fill="183F3A"/>
          </w:tcPr>
          <w:p>
            <w:pPr>
              <w:spacing w:after="0" w:before="0"/>
            </w:pPr>
            <w:r/>
            <w:r>
              <w:rPr>
                <w:rFonts w:ascii="Aptos" w:hAnsi="Aptos"/>
                <w:b/>
                <w:color w:val="FFFFFF"/>
                <w:sz w:val="15"/>
              </w:rPr>
              <w:t>Funding</w:t>
            </w:r>
          </w:p>
        </w:tc>
        <w:tc>
          <w:tcPr>
            <w:tcW w:type="dxa" w:w="1224"/>
            <w:vAlign w:val="center"/>
            <w:shd w:fill="183F3A"/>
          </w:tcPr>
          <w:p>
            <w:pPr>
              <w:spacing w:after="0" w:before="0"/>
            </w:pPr>
            <w:r/>
            <w:r>
              <w:rPr>
                <w:rFonts w:ascii="Aptos" w:hAnsi="Aptos"/>
                <w:b/>
                <w:color w:val="FFFFFF"/>
                <w:sz w:val="15"/>
              </w:rPr>
              <w:t>Funding share</w:t>
            </w:r>
          </w:p>
        </w:tc>
        <w:tc>
          <w:tcPr>
            <w:tcW w:type="dxa" w:w="2448"/>
            <w:vAlign w:val="center"/>
            <w:shd w:fill="183F3A"/>
          </w:tcPr>
          <w:p>
            <w:pPr>
              <w:spacing w:after="0" w:before="0"/>
            </w:pPr>
            <w:r/>
            <w:r>
              <w:rPr>
                <w:rFonts w:ascii="Aptos" w:hAnsi="Aptos"/>
                <w:b/>
                <w:color w:val="FFFFFF"/>
                <w:sz w:val="15"/>
              </w:rPr>
              <w:t>Average / median</w:t>
            </w:r>
          </w:p>
        </w:tc>
      </w:tr>
      <w:tr>
        <w:trPr>
          <w:cantSplit/>
        </w:trPr>
        <w:tc>
          <w:tcPr>
            <w:tcW w:type="dxa" w:w="1584"/>
            <w:vAlign w:val="center"/>
          </w:tcPr>
          <w:p>
            <w:pPr>
              <w:spacing w:after="0" w:before="0"/>
            </w:pPr>
            <w:r/>
            <w:r>
              <w:rPr>
                <w:rFonts w:ascii="Aptos" w:hAnsi="Aptos"/>
                <w:b w:val="0"/>
                <w:color w:val="172D2A"/>
                <w:sz w:val="15"/>
              </w:rPr>
              <w:t>Private Equity</w:t>
            </w:r>
          </w:p>
        </w:tc>
        <w:tc>
          <w:tcPr>
            <w:tcW w:type="dxa" w:w="1080"/>
            <w:vAlign w:val="center"/>
          </w:tcPr>
          <w:p>
            <w:pPr>
              <w:spacing w:after="0" w:before="0"/>
            </w:pPr>
            <w:r/>
            <w:r>
              <w:rPr>
                <w:rFonts w:ascii="Aptos" w:hAnsi="Aptos"/>
                <w:b w:val="0"/>
                <w:color w:val="172D2A"/>
                <w:sz w:val="15"/>
              </w:rPr>
              <w:t>1,362</w:t>
            </w:r>
          </w:p>
        </w:tc>
        <w:tc>
          <w:tcPr>
            <w:tcW w:type="dxa" w:w="1512"/>
            <w:vAlign w:val="center"/>
          </w:tcPr>
          <w:p>
            <w:pPr>
              <w:spacing w:after="0" w:before="0"/>
            </w:pPr>
            <w:r/>
            <w:r>
              <w:rPr>
                <w:rFonts w:ascii="Aptos" w:hAnsi="Aptos"/>
                <w:b w:val="0"/>
                <w:color w:val="172D2A"/>
                <w:sz w:val="15"/>
              </w:rPr>
              <w:t>1,077</w:t>
            </w:r>
          </w:p>
        </w:tc>
        <w:tc>
          <w:tcPr>
            <w:tcW w:type="dxa" w:w="1512"/>
            <w:vAlign w:val="center"/>
          </w:tcPr>
          <w:p>
            <w:pPr>
              <w:spacing w:after="0" w:before="0"/>
            </w:pPr>
            <w:r/>
            <w:r>
              <w:rPr>
                <w:rFonts w:ascii="Aptos" w:hAnsi="Aptos"/>
                <w:b w:val="0"/>
                <w:color w:val="172D2A"/>
                <w:sz w:val="15"/>
              </w:rPr>
              <w:t>$27.235B</w:t>
            </w:r>
          </w:p>
        </w:tc>
        <w:tc>
          <w:tcPr>
            <w:tcW w:type="dxa" w:w="1224"/>
            <w:vAlign w:val="center"/>
          </w:tcPr>
          <w:p>
            <w:pPr>
              <w:spacing w:after="0" w:before="0"/>
            </w:pPr>
            <w:r/>
            <w:r>
              <w:rPr>
                <w:rFonts w:ascii="Aptos" w:hAnsi="Aptos"/>
                <w:b w:val="0"/>
                <w:color w:val="172D2A"/>
                <w:sz w:val="15"/>
              </w:rPr>
              <w:t>71.4%</w:t>
            </w:r>
          </w:p>
        </w:tc>
        <w:tc>
          <w:tcPr>
            <w:tcW w:type="dxa" w:w="2448"/>
            <w:vAlign w:val="center"/>
          </w:tcPr>
          <w:p>
            <w:pPr>
              <w:spacing w:after="0" w:before="0"/>
            </w:pPr>
            <w:r/>
            <w:r>
              <w:rPr>
                <w:rFonts w:ascii="Aptos" w:hAnsi="Aptos"/>
                <w:b w:val="0"/>
                <w:color w:val="172D2A"/>
                <w:sz w:val="15"/>
              </w:rPr>
              <w:t>$25.29M / $6.00M</w:t>
            </w:r>
          </w:p>
        </w:tc>
      </w:tr>
      <w:tr>
        <w:trPr>
          <w:cantSplit/>
        </w:trPr>
        <w:tc>
          <w:tcPr>
            <w:tcW w:type="dxa" w:w="1584"/>
            <w:vAlign w:val="center"/>
            <w:shd w:fill="F0F3ED"/>
          </w:tcPr>
          <w:p>
            <w:pPr>
              <w:spacing w:after="0" w:before="0"/>
            </w:pPr>
            <w:r/>
            <w:r>
              <w:rPr>
                <w:rFonts w:ascii="Aptos" w:hAnsi="Aptos"/>
                <w:b w:val="0"/>
                <w:color w:val="172D2A"/>
                <w:sz w:val="15"/>
              </w:rPr>
              <w:t>Series B</w:t>
            </w:r>
          </w:p>
        </w:tc>
        <w:tc>
          <w:tcPr>
            <w:tcW w:type="dxa" w:w="1080"/>
            <w:vAlign w:val="center"/>
            <w:shd w:fill="F0F3ED"/>
          </w:tcPr>
          <w:p>
            <w:pPr>
              <w:spacing w:after="0" w:before="0"/>
            </w:pPr>
            <w:r/>
            <w:r>
              <w:rPr>
                <w:rFonts w:ascii="Aptos" w:hAnsi="Aptos"/>
                <w:b w:val="0"/>
                <w:color w:val="172D2A"/>
                <w:sz w:val="15"/>
              </w:rPr>
              <w:t>21</w:t>
            </w:r>
          </w:p>
        </w:tc>
        <w:tc>
          <w:tcPr>
            <w:tcW w:type="dxa" w:w="1512"/>
            <w:vAlign w:val="center"/>
            <w:shd w:fill="F0F3ED"/>
          </w:tcPr>
          <w:p>
            <w:pPr>
              <w:spacing w:after="0" w:before="0"/>
            </w:pPr>
            <w:r/>
            <w:r>
              <w:rPr>
                <w:rFonts w:ascii="Aptos" w:hAnsi="Aptos"/>
                <w:b w:val="0"/>
                <w:color w:val="172D2A"/>
                <w:sz w:val="15"/>
              </w:rPr>
              <w:t>21</w:t>
            </w:r>
          </w:p>
        </w:tc>
        <w:tc>
          <w:tcPr>
            <w:tcW w:type="dxa" w:w="1512"/>
            <w:vAlign w:val="center"/>
            <w:shd w:fill="F0F3ED"/>
          </w:tcPr>
          <w:p>
            <w:pPr>
              <w:spacing w:after="0" w:before="0"/>
            </w:pPr>
            <w:r/>
            <w:r>
              <w:rPr>
                <w:rFonts w:ascii="Aptos" w:hAnsi="Aptos"/>
                <w:b w:val="0"/>
                <w:color w:val="172D2A"/>
                <w:sz w:val="15"/>
              </w:rPr>
              <w:t>$4.805B</w:t>
            </w:r>
          </w:p>
        </w:tc>
        <w:tc>
          <w:tcPr>
            <w:tcW w:type="dxa" w:w="1224"/>
            <w:vAlign w:val="center"/>
            <w:shd w:fill="F0F3ED"/>
          </w:tcPr>
          <w:p>
            <w:pPr>
              <w:spacing w:after="0" w:before="0"/>
            </w:pPr>
            <w:r/>
            <w:r>
              <w:rPr>
                <w:rFonts w:ascii="Aptos" w:hAnsi="Aptos"/>
                <w:b w:val="0"/>
                <w:color w:val="172D2A"/>
                <w:sz w:val="15"/>
              </w:rPr>
              <w:t>12.6%</w:t>
            </w:r>
          </w:p>
        </w:tc>
        <w:tc>
          <w:tcPr>
            <w:tcW w:type="dxa" w:w="2448"/>
            <w:vAlign w:val="center"/>
            <w:shd w:fill="F0F3ED"/>
          </w:tcPr>
          <w:p>
            <w:pPr>
              <w:spacing w:after="0" w:before="0"/>
            </w:pPr>
            <w:r/>
            <w:r>
              <w:rPr>
                <w:rFonts w:ascii="Aptos" w:hAnsi="Aptos"/>
                <w:b w:val="0"/>
                <w:color w:val="172D2A"/>
                <w:sz w:val="15"/>
              </w:rPr>
              <w:t>$228.82M / $15.80M</w:t>
            </w:r>
          </w:p>
        </w:tc>
      </w:tr>
      <w:tr>
        <w:trPr>
          <w:cantSplit/>
        </w:trPr>
        <w:tc>
          <w:tcPr>
            <w:tcW w:type="dxa" w:w="1584"/>
            <w:vAlign w:val="center"/>
          </w:tcPr>
          <w:p>
            <w:pPr>
              <w:spacing w:after="0" w:before="0"/>
            </w:pPr>
            <w:r/>
            <w:r>
              <w:rPr>
                <w:rFonts w:ascii="Aptos" w:hAnsi="Aptos"/>
                <w:b w:val="0"/>
                <w:color w:val="172D2A"/>
                <w:sz w:val="15"/>
              </w:rPr>
              <w:t>Series D</w:t>
            </w:r>
          </w:p>
        </w:tc>
        <w:tc>
          <w:tcPr>
            <w:tcW w:type="dxa" w:w="1080"/>
            <w:vAlign w:val="center"/>
          </w:tcPr>
          <w:p>
            <w:pPr>
              <w:spacing w:after="0" w:before="0"/>
            </w:pPr>
            <w:r/>
            <w:r>
              <w:rPr>
                <w:rFonts w:ascii="Aptos" w:hAnsi="Aptos"/>
                <w:b w:val="0"/>
                <w:color w:val="172D2A"/>
                <w:sz w:val="15"/>
              </w:rPr>
              <w:t>12</w:t>
            </w:r>
          </w:p>
        </w:tc>
        <w:tc>
          <w:tcPr>
            <w:tcW w:type="dxa" w:w="1512"/>
            <w:vAlign w:val="center"/>
          </w:tcPr>
          <w:p>
            <w:pPr>
              <w:spacing w:after="0" w:before="0"/>
            </w:pPr>
            <w:r/>
            <w:r>
              <w:rPr>
                <w:rFonts w:ascii="Aptos" w:hAnsi="Aptos"/>
                <w:b w:val="0"/>
                <w:color w:val="172D2A"/>
                <w:sz w:val="15"/>
              </w:rPr>
              <w:t>12</w:t>
            </w:r>
          </w:p>
        </w:tc>
        <w:tc>
          <w:tcPr>
            <w:tcW w:type="dxa" w:w="1512"/>
            <w:vAlign w:val="center"/>
          </w:tcPr>
          <w:p>
            <w:pPr>
              <w:spacing w:after="0" w:before="0"/>
            </w:pPr>
            <w:r/>
            <w:r>
              <w:rPr>
                <w:rFonts w:ascii="Aptos" w:hAnsi="Aptos"/>
                <w:b w:val="0"/>
                <w:color w:val="172D2A"/>
                <w:sz w:val="15"/>
              </w:rPr>
              <w:t>$1.482B</w:t>
            </w:r>
          </w:p>
        </w:tc>
        <w:tc>
          <w:tcPr>
            <w:tcW w:type="dxa" w:w="1224"/>
            <w:vAlign w:val="center"/>
          </w:tcPr>
          <w:p>
            <w:pPr>
              <w:spacing w:after="0" w:before="0"/>
            </w:pPr>
            <w:r/>
            <w:r>
              <w:rPr>
                <w:rFonts w:ascii="Aptos" w:hAnsi="Aptos"/>
                <w:b w:val="0"/>
                <w:color w:val="172D2A"/>
                <w:sz w:val="15"/>
              </w:rPr>
              <w:t>3.9%</w:t>
            </w:r>
          </w:p>
        </w:tc>
        <w:tc>
          <w:tcPr>
            <w:tcW w:type="dxa" w:w="2448"/>
            <w:vAlign w:val="center"/>
          </w:tcPr>
          <w:p>
            <w:pPr>
              <w:spacing w:after="0" w:before="0"/>
            </w:pPr>
            <w:r/>
            <w:r>
              <w:rPr>
                <w:rFonts w:ascii="Aptos" w:hAnsi="Aptos"/>
                <w:b w:val="0"/>
                <w:color w:val="172D2A"/>
                <w:sz w:val="15"/>
              </w:rPr>
              <w:t>$123.48M / $65.00M</w:t>
            </w:r>
          </w:p>
        </w:tc>
      </w:tr>
      <w:tr>
        <w:trPr>
          <w:cantSplit/>
        </w:trPr>
        <w:tc>
          <w:tcPr>
            <w:tcW w:type="dxa" w:w="1584"/>
            <w:vAlign w:val="center"/>
            <w:shd w:fill="F0F3ED"/>
          </w:tcPr>
          <w:p>
            <w:pPr>
              <w:spacing w:after="0" w:before="0"/>
            </w:pPr>
            <w:r/>
            <w:r>
              <w:rPr>
                <w:rFonts w:ascii="Aptos" w:hAnsi="Aptos"/>
                <w:b w:val="0"/>
                <w:color w:val="172D2A"/>
                <w:sz w:val="15"/>
              </w:rPr>
              <w:t>Other</w:t>
            </w:r>
          </w:p>
        </w:tc>
        <w:tc>
          <w:tcPr>
            <w:tcW w:type="dxa" w:w="1080"/>
            <w:vAlign w:val="center"/>
            <w:shd w:fill="F0F3ED"/>
          </w:tcPr>
          <w:p>
            <w:pPr>
              <w:spacing w:after="0" w:before="0"/>
            </w:pPr>
            <w:r/>
            <w:r>
              <w:rPr>
                <w:rFonts w:ascii="Aptos" w:hAnsi="Aptos"/>
                <w:b w:val="0"/>
                <w:color w:val="172D2A"/>
                <w:sz w:val="15"/>
              </w:rPr>
              <w:t>12</w:t>
            </w:r>
          </w:p>
        </w:tc>
        <w:tc>
          <w:tcPr>
            <w:tcW w:type="dxa" w:w="1512"/>
            <w:vAlign w:val="center"/>
            <w:shd w:fill="F0F3ED"/>
          </w:tcPr>
          <w:p>
            <w:pPr>
              <w:spacing w:after="0" w:before="0"/>
            </w:pPr>
            <w:r/>
            <w:r>
              <w:rPr>
                <w:rFonts w:ascii="Aptos" w:hAnsi="Aptos"/>
                <w:b w:val="0"/>
                <w:color w:val="172D2A"/>
                <w:sz w:val="15"/>
              </w:rPr>
              <w:t>11</w:t>
            </w:r>
          </w:p>
        </w:tc>
        <w:tc>
          <w:tcPr>
            <w:tcW w:type="dxa" w:w="1512"/>
            <w:vAlign w:val="center"/>
            <w:shd w:fill="F0F3ED"/>
          </w:tcPr>
          <w:p>
            <w:pPr>
              <w:spacing w:after="0" w:before="0"/>
            </w:pPr>
            <w:r/>
            <w:r>
              <w:rPr>
                <w:rFonts w:ascii="Aptos" w:hAnsi="Aptos"/>
                <w:b w:val="0"/>
                <w:color w:val="172D2A"/>
                <w:sz w:val="15"/>
              </w:rPr>
              <w:t>$1.205B</w:t>
            </w:r>
          </w:p>
        </w:tc>
        <w:tc>
          <w:tcPr>
            <w:tcW w:type="dxa" w:w="1224"/>
            <w:vAlign w:val="center"/>
            <w:shd w:fill="F0F3ED"/>
          </w:tcPr>
          <w:p>
            <w:pPr>
              <w:spacing w:after="0" w:before="0"/>
            </w:pPr>
            <w:r/>
            <w:r>
              <w:rPr>
                <w:rFonts w:ascii="Aptos" w:hAnsi="Aptos"/>
                <w:b w:val="0"/>
                <w:color w:val="172D2A"/>
                <w:sz w:val="15"/>
              </w:rPr>
              <w:t>3.2%</w:t>
            </w:r>
          </w:p>
        </w:tc>
        <w:tc>
          <w:tcPr>
            <w:tcW w:type="dxa" w:w="2448"/>
            <w:vAlign w:val="center"/>
            <w:shd w:fill="F0F3ED"/>
          </w:tcPr>
          <w:p>
            <w:pPr>
              <w:spacing w:after="0" w:before="0"/>
            </w:pPr>
            <w:r/>
            <w:r>
              <w:rPr>
                <w:rFonts w:ascii="Aptos" w:hAnsi="Aptos"/>
                <w:b w:val="0"/>
                <w:color w:val="172D2A"/>
                <w:sz w:val="15"/>
              </w:rPr>
              <w:t>$109.58M / $6.24M</w:t>
            </w:r>
          </w:p>
        </w:tc>
      </w:tr>
      <w:tr>
        <w:trPr>
          <w:cantSplit/>
        </w:trPr>
        <w:tc>
          <w:tcPr>
            <w:tcW w:type="dxa" w:w="1584"/>
            <w:vAlign w:val="center"/>
          </w:tcPr>
          <w:p>
            <w:pPr>
              <w:spacing w:after="0" w:before="0"/>
            </w:pPr>
            <w:r/>
            <w:r>
              <w:rPr>
                <w:rFonts w:ascii="Aptos" w:hAnsi="Aptos"/>
                <w:b w:val="0"/>
                <w:color w:val="172D2A"/>
                <w:sz w:val="15"/>
              </w:rPr>
              <w:t>Seed/Angel</w:t>
            </w:r>
          </w:p>
        </w:tc>
        <w:tc>
          <w:tcPr>
            <w:tcW w:type="dxa" w:w="1080"/>
            <w:vAlign w:val="center"/>
          </w:tcPr>
          <w:p>
            <w:pPr>
              <w:spacing w:after="0" w:before="0"/>
            </w:pPr>
            <w:r/>
            <w:r>
              <w:rPr>
                <w:rFonts w:ascii="Aptos" w:hAnsi="Aptos"/>
                <w:b w:val="0"/>
                <w:color w:val="172D2A"/>
                <w:sz w:val="15"/>
              </w:rPr>
              <w:t>1,542</w:t>
            </w:r>
          </w:p>
        </w:tc>
        <w:tc>
          <w:tcPr>
            <w:tcW w:type="dxa" w:w="1512"/>
            <w:vAlign w:val="center"/>
          </w:tcPr>
          <w:p>
            <w:pPr>
              <w:spacing w:after="0" w:before="0"/>
            </w:pPr>
            <w:r/>
            <w:r>
              <w:rPr>
                <w:rFonts w:ascii="Aptos" w:hAnsi="Aptos"/>
                <w:b w:val="0"/>
                <w:color w:val="172D2A"/>
                <w:sz w:val="15"/>
              </w:rPr>
              <w:t>864</w:t>
            </w:r>
          </w:p>
        </w:tc>
        <w:tc>
          <w:tcPr>
            <w:tcW w:type="dxa" w:w="1512"/>
            <w:vAlign w:val="center"/>
          </w:tcPr>
          <w:p>
            <w:pPr>
              <w:spacing w:after="0" w:before="0"/>
            </w:pPr>
            <w:r/>
            <w:r>
              <w:rPr>
                <w:rFonts w:ascii="Aptos" w:hAnsi="Aptos"/>
                <w:b w:val="0"/>
                <w:color w:val="172D2A"/>
                <w:sz w:val="15"/>
              </w:rPr>
              <w:t>$1.056B</w:t>
            </w:r>
          </w:p>
        </w:tc>
        <w:tc>
          <w:tcPr>
            <w:tcW w:type="dxa" w:w="1224"/>
            <w:vAlign w:val="center"/>
          </w:tcPr>
          <w:p>
            <w:pPr>
              <w:spacing w:after="0" w:before="0"/>
            </w:pPr>
            <w:r/>
            <w:r>
              <w:rPr>
                <w:rFonts w:ascii="Aptos" w:hAnsi="Aptos"/>
                <w:b w:val="0"/>
                <w:color w:val="172D2A"/>
                <w:sz w:val="15"/>
              </w:rPr>
              <w:t>2.8%</w:t>
            </w:r>
          </w:p>
        </w:tc>
        <w:tc>
          <w:tcPr>
            <w:tcW w:type="dxa" w:w="2448"/>
            <w:vAlign w:val="center"/>
          </w:tcPr>
          <w:p>
            <w:pPr>
              <w:spacing w:after="0" w:before="0"/>
            </w:pPr>
            <w:r/>
            <w:r>
              <w:rPr>
                <w:rFonts w:ascii="Aptos" w:hAnsi="Aptos"/>
                <w:b w:val="0"/>
                <w:color w:val="172D2A"/>
                <w:sz w:val="15"/>
              </w:rPr>
              <w:t>$1.22M / $0.37M</w:t>
            </w:r>
          </w:p>
        </w:tc>
      </w:tr>
      <w:tr>
        <w:trPr>
          <w:cantSplit/>
        </w:trPr>
        <w:tc>
          <w:tcPr>
            <w:tcW w:type="dxa" w:w="1584"/>
            <w:vAlign w:val="center"/>
            <w:shd w:fill="F0F3ED"/>
          </w:tcPr>
          <w:p>
            <w:pPr>
              <w:spacing w:after="0" w:before="0"/>
            </w:pPr>
            <w:r/>
            <w:r>
              <w:rPr>
                <w:rFonts w:ascii="Aptos" w:hAnsi="Aptos"/>
                <w:b w:val="0"/>
                <w:color w:val="172D2A"/>
                <w:sz w:val="15"/>
              </w:rPr>
              <w:t>Series C</w:t>
            </w:r>
          </w:p>
        </w:tc>
        <w:tc>
          <w:tcPr>
            <w:tcW w:type="dxa" w:w="1080"/>
            <w:vAlign w:val="center"/>
            <w:shd w:fill="F0F3ED"/>
          </w:tcPr>
          <w:p>
            <w:pPr>
              <w:spacing w:after="0" w:before="0"/>
            </w:pPr>
            <w:r/>
            <w:r>
              <w:rPr>
                <w:rFonts w:ascii="Aptos" w:hAnsi="Aptos"/>
                <w:b w:val="0"/>
                <w:color w:val="172D2A"/>
                <w:sz w:val="15"/>
              </w:rPr>
              <w:t>14</w:t>
            </w:r>
          </w:p>
        </w:tc>
        <w:tc>
          <w:tcPr>
            <w:tcW w:type="dxa" w:w="1512"/>
            <w:vAlign w:val="center"/>
            <w:shd w:fill="F0F3ED"/>
          </w:tcPr>
          <w:p>
            <w:pPr>
              <w:spacing w:after="0" w:before="0"/>
            </w:pPr>
            <w:r/>
            <w:r>
              <w:rPr>
                <w:rFonts w:ascii="Aptos" w:hAnsi="Aptos"/>
                <w:b w:val="0"/>
                <w:color w:val="172D2A"/>
                <w:sz w:val="15"/>
              </w:rPr>
              <w:t>14</w:t>
            </w:r>
          </w:p>
        </w:tc>
        <w:tc>
          <w:tcPr>
            <w:tcW w:type="dxa" w:w="1512"/>
            <w:vAlign w:val="center"/>
            <w:shd w:fill="F0F3ED"/>
          </w:tcPr>
          <w:p>
            <w:pPr>
              <w:spacing w:after="0" w:before="0"/>
            </w:pPr>
            <w:r/>
            <w:r>
              <w:rPr>
                <w:rFonts w:ascii="Aptos" w:hAnsi="Aptos"/>
                <w:b w:val="0"/>
                <w:color w:val="172D2A"/>
                <w:sz w:val="15"/>
              </w:rPr>
              <w:t>$1.045B</w:t>
            </w:r>
          </w:p>
        </w:tc>
        <w:tc>
          <w:tcPr>
            <w:tcW w:type="dxa" w:w="1224"/>
            <w:vAlign w:val="center"/>
            <w:shd w:fill="F0F3ED"/>
          </w:tcPr>
          <w:p>
            <w:pPr>
              <w:spacing w:after="0" w:before="0"/>
            </w:pPr>
            <w:r/>
            <w:r>
              <w:rPr>
                <w:rFonts w:ascii="Aptos" w:hAnsi="Aptos"/>
                <w:b w:val="0"/>
                <w:color w:val="172D2A"/>
                <w:sz w:val="15"/>
              </w:rPr>
              <w:t>2.7%</w:t>
            </w:r>
          </w:p>
        </w:tc>
        <w:tc>
          <w:tcPr>
            <w:tcW w:type="dxa" w:w="2448"/>
            <w:vAlign w:val="center"/>
            <w:shd w:fill="F0F3ED"/>
          </w:tcPr>
          <w:p>
            <w:pPr>
              <w:spacing w:after="0" w:before="0"/>
            </w:pPr>
            <w:r/>
            <w:r>
              <w:rPr>
                <w:rFonts w:ascii="Aptos" w:hAnsi="Aptos"/>
                <w:b w:val="0"/>
                <w:color w:val="172D2A"/>
                <w:sz w:val="15"/>
              </w:rPr>
              <w:t>$74.62M / $50.00M</w:t>
            </w:r>
          </w:p>
        </w:tc>
      </w:tr>
      <w:tr>
        <w:trPr>
          <w:cantSplit/>
        </w:trPr>
        <w:tc>
          <w:tcPr>
            <w:tcW w:type="dxa" w:w="1584"/>
            <w:vAlign w:val="center"/>
          </w:tcPr>
          <w:p>
            <w:pPr>
              <w:spacing w:after="0" w:before="0"/>
            </w:pPr>
            <w:r/>
            <w:r>
              <w:rPr>
                <w:rFonts w:ascii="Aptos" w:hAnsi="Aptos"/>
                <w:b w:val="0"/>
                <w:color w:val="172D2A"/>
                <w:sz w:val="15"/>
              </w:rPr>
              <w:t>Series A</w:t>
            </w:r>
          </w:p>
        </w:tc>
        <w:tc>
          <w:tcPr>
            <w:tcW w:type="dxa" w:w="1080"/>
            <w:vAlign w:val="center"/>
          </w:tcPr>
          <w:p>
            <w:pPr>
              <w:spacing w:after="0" w:before="0"/>
            </w:pPr>
            <w:r/>
            <w:r>
              <w:rPr>
                <w:rFonts w:ascii="Aptos" w:hAnsi="Aptos"/>
                <w:b w:val="0"/>
                <w:color w:val="172D2A"/>
                <w:sz w:val="15"/>
              </w:rPr>
              <w:t>33</w:t>
            </w:r>
          </w:p>
        </w:tc>
        <w:tc>
          <w:tcPr>
            <w:tcW w:type="dxa" w:w="1512"/>
            <w:vAlign w:val="center"/>
          </w:tcPr>
          <w:p>
            <w:pPr>
              <w:spacing w:after="0" w:before="0"/>
            </w:pPr>
            <w:r/>
            <w:r>
              <w:rPr>
                <w:rFonts w:ascii="Aptos" w:hAnsi="Aptos"/>
                <w:b w:val="0"/>
                <w:color w:val="172D2A"/>
                <w:sz w:val="15"/>
              </w:rPr>
              <w:t>30</w:t>
            </w:r>
          </w:p>
        </w:tc>
        <w:tc>
          <w:tcPr>
            <w:tcW w:type="dxa" w:w="1512"/>
            <w:vAlign w:val="center"/>
          </w:tcPr>
          <w:p>
            <w:pPr>
              <w:spacing w:after="0" w:before="0"/>
            </w:pPr>
            <w:r/>
            <w:r>
              <w:rPr>
                <w:rFonts w:ascii="Aptos" w:hAnsi="Aptos"/>
                <w:b w:val="0"/>
                <w:color w:val="172D2A"/>
                <w:sz w:val="15"/>
              </w:rPr>
              <w:t>$0.248B</w:t>
            </w:r>
          </w:p>
        </w:tc>
        <w:tc>
          <w:tcPr>
            <w:tcW w:type="dxa" w:w="1224"/>
            <w:vAlign w:val="center"/>
          </w:tcPr>
          <w:p>
            <w:pPr>
              <w:spacing w:after="0" w:before="0"/>
            </w:pPr>
            <w:r/>
            <w:r>
              <w:rPr>
                <w:rFonts w:ascii="Aptos" w:hAnsi="Aptos"/>
                <w:b w:val="0"/>
                <w:color w:val="172D2A"/>
                <w:sz w:val="15"/>
              </w:rPr>
              <w:t>0.6%</w:t>
            </w:r>
          </w:p>
        </w:tc>
        <w:tc>
          <w:tcPr>
            <w:tcW w:type="dxa" w:w="2448"/>
            <w:vAlign w:val="center"/>
          </w:tcPr>
          <w:p>
            <w:pPr>
              <w:spacing w:after="0" w:before="0"/>
            </w:pPr>
            <w:r/>
            <w:r>
              <w:rPr>
                <w:rFonts w:ascii="Aptos" w:hAnsi="Aptos"/>
                <w:b w:val="0"/>
                <w:color w:val="172D2A"/>
                <w:sz w:val="15"/>
              </w:rPr>
              <w:t>$8.25M / $3.45M</w:t>
            </w:r>
          </w:p>
        </w:tc>
      </w:tr>
    </w:tbl>
    <w:p>
      <w:pPr>
        <w:spacing w:after="0"/>
      </w:pPr>
    </w:p>
    <w:p>
      <w:pPr>
        <w:spacing w:after="40"/>
        <w:jc w:val="center"/>
      </w:pPr>
      <w:r>
        <w:drawing>
          <wp:inline xmlns:a="http://schemas.openxmlformats.org/drawingml/2006/main" xmlns:pic="http://schemas.openxmlformats.org/drawingml/2006/picture">
            <wp:extent cx="5852160" cy="3019978"/>
            <wp:docPr id="6" name="Picture 6"/>
            <wp:cNvGraphicFramePr>
              <a:graphicFrameLocks noChangeAspect="1"/>
            </wp:cNvGraphicFramePr>
            <a:graphic>
              <a:graphicData uri="http://schemas.openxmlformats.org/drawingml/2006/picture">
                <pic:pic>
                  <pic:nvPicPr>
                    <pic:cNvPr id="0" name="deal_size_distribution.png"/>
                    <pic:cNvPicPr/>
                  </pic:nvPicPr>
                  <pic:blipFill>
                    <a:blip r:embed="rId16"/>
                    <a:stretch>
                      <a:fillRect/>
                    </a:stretch>
                  </pic:blipFill>
                  <pic:spPr>
                    <a:xfrm>
                      <a:off x="0" y="0"/>
                      <a:ext cx="5852160" cy="3019978"/>
                    </a:xfrm>
                    <a:prstGeom prst="rect"/>
                  </pic:spPr>
                </pic:pic>
              </a:graphicData>
            </a:graphic>
          </wp:inline>
        </w:drawing>
      </w:r>
    </w:p>
    <w:p>
      <w:pPr>
        <w:spacing w:after="120"/>
        <w:jc w:val="center"/>
      </w:pPr>
      <w:r>
        <w:rPr>
          <w:rFonts w:ascii="Aptos" w:hAnsi="Aptos"/>
          <w:i/>
          <w:color w:val="66736D"/>
          <w:sz w:val="16"/>
        </w:rPr>
        <w:t>Counts include only records with numeric funding amounts. No disclosed numeric amounts are below $10K in this export.</w:t>
      </w:r>
    </w:p>
    <w:p>
      <w:pPr>
        <w:pStyle w:val="Heading2"/>
      </w:pPr>
      <w:r>
        <w:t>Distribution and outlier interpretation</w:t>
      </w:r>
    </w:p>
    <w:p>
      <w:pPr>
        <w:pStyle w:val="ListBullet"/>
        <w:spacing w:after="60" w:line="247" w:lineRule="auto"/>
      </w:pPr>
      <w:r>
        <w:rPr>
          <w:rFonts w:ascii="Aptos" w:hAnsi="Aptos"/>
          <w:color w:val="172D2A"/>
          <w:sz w:val="19"/>
        </w:rPr>
        <w:t>Mean disclosed deal size is $18.40M, versus a median of $1.75M; the mean is 10.5× the median. Use medians alongside averages when comparing typical deal sizes.</w:t>
      </w:r>
    </w:p>
    <w:p>
      <w:pPr>
        <w:pStyle w:val="ListBullet"/>
        <w:spacing w:after="60" w:line="247" w:lineRule="auto"/>
      </w:pPr>
      <w:r>
        <w:rPr>
          <w:rFonts w:ascii="Aptos" w:hAnsi="Aptos"/>
          <w:color w:val="172D2A"/>
          <w:sz w:val="19"/>
        </w:rPr>
        <w:t>The top ten funding records sum to $13.27B (34.8% of total disclosed funding). The largest single record is $3.90B for Rapido Bike Taxi on 2019-08-27, recorded as Series B. Verify this record and source currency before treating it as a market fact.</w:t>
      </w:r>
    </w:p>
    <w:p>
      <w:pPr>
        <w:pStyle w:val="ListBullet"/>
        <w:spacing w:after="60" w:line="247" w:lineRule="auto"/>
      </w:pPr>
      <w:r>
        <w:rPr>
          <w:rFonts w:ascii="Aptos" w:hAnsi="Aptos"/>
          <w:color w:val="172D2A"/>
          <w:sz w:val="19"/>
        </w:rPr>
        <w:t>Seed/Angel has the largest record count (1,542) but only $1.06B in disclosed funding; Private Equity has 1,362 records and $27.23B. Counts and capital volume tell different stories.</w:t>
      </w:r>
    </w:p>
    <w:p>
      <w:r>
        <w:br w:type="page"/>
      </w:r>
    </w:p>
    <w:p>
      <w:pPr>
        <w:spacing w:after="40"/>
      </w:pPr>
      <w:r>
        <w:rPr>
          <w:rFonts w:ascii="Aptos" w:hAnsi="Aptos"/>
          <w:b/>
          <w:color w:val="D86A4A"/>
          <w:sz w:val="16"/>
        </w:rPr>
        <w:t>09 | INVESTORS &amp; SQL LOGIC</w:t>
      </w:r>
    </w:p>
    <w:p>
      <w:pPr>
        <w:spacing w:after="80"/>
      </w:pPr>
      <w:r>
        <w:rPr>
          <w:rFonts w:ascii="Aptos Display" w:hAnsi="Aptos Display"/>
          <w:b/>
          <w:color w:val="183F3A"/>
          <w:sz w:val="44"/>
        </w:rPr>
        <w:t>The current investor field does not yet support a defensible individual-investor leaderboard</w:t>
      </w:r>
    </w:p>
    <w:p>
      <w:pPr>
        <w:spacing w:after="100" w:line="259" w:lineRule="auto"/>
      </w:pPr>
      <w:r>
        <w:rPr>
          <w:rFonts w:ascii="Aptos" w:hAnsi="Aptos"/>
          <w:i w:val="0"/>
          <w:color w:val="66736D"/>
          <w:sz w:val="20"/>
        </w:rPr>
        <w:t>Investor name strings are normalized for casing/spacing in the notebook, but a number of rows still contain multiple names in a single text cell.</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880"/>
            <w:vAlign w:val="center"/>
            <w:shd w:fill="183F3A"/>
          </w:tcPr>
          <w:p>
            <w:pPr>
              <w:spacing w:after="0" w:before="0"/>
            </w:pPr>
            <w:r/>
            <w:r>
              <w:rPr>
                <w:rFonts w:ascii="Aptos" w:hAnsi="Aptos"/>
                <w:b/>
                <w:color w:val="FFFFFF"/>
                <w:sz w:val="16"/>
              </w:rPr>
              <w:t>Indicator</w:t>
            </w:r>
          </w:p>
        </w:tc>
        <w:tc>
          <w:tcPr>
            <w:tcW w:type="dxa" w:w="1656"/>
            <w:vAlign w:val="center"/>
            <w:shd w:fill="183F3A"/>
          </w:tcPr>
          <w:p>
            <w:pPr>
              <w:spacing w:after="0" w:before="0"/>
            </w:pPr>
            <w:r/>
            <w:r>
              <w:rPr>
                <w:rFonts w:ascii="Aptos" w:hAnsi="Aptos"/>
                <w:b/>
                <w:color w:val="FFFFFF"/>
                <w:sz w:val="16"/>
              </w:rPr>
              <w:t>Observed value</w:t>
            </w:r>
          </w:p>
        </w:tc>
        <w:tc>
          <w:tcPr>
            <w:tcW w:type="dxa" w:w="4464"/>
            <w:vAlign w:val="center"/>
            <w:shd w:fill="183F3A"/>
          </w:tcPr>
          <w:p>
            <w:pPr>
              <w:spacing w:after="0" w:before="0"/>
            </w:pPr>
            <w:r/>
            <w:r>
              <w:rPr>
                <w:rFonts w:ascii="Aptos" w:hAnsi="Aptos"/>
                <w:b/>
                <w:color w:val="FFFFFF"/>
                <w:sz w:val="16"/>
              </w:rPr>
              <w:t>Interpretation</w:t>
            </w:r>
          </w:p>
        </w:tc>
      </w:tr>
      <w:tr>
        <w:trPr>
          <w:cantSplit/>
        </w:trPr>
        <w:tc>
          <w:tcPr>
            <w:tcW w:type="dxa" w:w="2880"/>
            <w:vAlign w:val="center"/>
          </w:tcPr>
          <w:p>
            <w:pPr>
              <w:spacing w:after="0" w:before="0"/>
            </w:pPr>
            <w:r/>
            <w:r>
              <w:rPr>
                <w:rFonts w:ascii="Aptos" w:hAnsi="Aptos"/>
                <w:b w:val="0"/>
                <w:color w:val="172D2A"/>
                <w:sz w:val="16"/>
              </w:rPr>
              <w:t>Distinct investor strings</w:t>
            </w:r>
          </w:p>
        </w:tc>
        <w:tc>
          <w:tcPr>
            <w:tcW w:type="dxa" w:w="1656"/>
            <w:vAlign w:val="center"/>
          </w:tcPr>
          <w:p>
            <w:pPr>
              <w:spacing w:after="0" w:before="0"/>
            </w:pPr>
            <w:r/>
            <w:r>
              <w:rPr>
                <w:rFonts w:ascii="Aptos" w:hAnsi="Aptos"/>
                <w:b w:val="0"/>
                <w:color w:val="172D2A"/>
                <w:sz w:val="16"/>
              </w:rPr>
              <w:t>2,364</w:t>
            </w:r>
          </w:p>
        </w:tc>
        <w:tc>
          <w:tcPr>
            <w:tcW w:type="dxa" w:w="4464"/>
            <w:vAlign w:val="center"/>
          </w:tcPr>
          <w:p>
            <w:pPr>
              <w:spacing w:after="0" w:before="0"/>
            </w:pPr>
            <w:r/>
            <w:r>
              <w:rPr>
                <w:rFonts w:ascii="Aptos" w:hAnsi="Aptos"/>
                <w:b w:val="0"/>
                <w:color w:val="172D2A"/>
                <w:sz w:val="16"/>
              </w:rPr>
              <w:t>Not the count of unique individual investors.</w:t>
            </w:r>
          </w:p>
        </w:tc>
      </w:tr>
      <w:tr>
        <w:trPr>
          <w:cantSplit/>
        </w:trPr>
        <w:tc>
          <w:tcPr>
            <w:tcW w:type="dxa" w:w="2880"/>
            <w:vAlign w:val="center"/>
            <w:shd w:fill="F0F3ED"/>
          </w:tcPr>
          <w:p>
            <w:pPr>
              <w:spacing w:after="0" w:before="0"/>
            </w:pPr>
            <w:r/>
            <w:r>
              <w:rPr>
                <w:rFonts w:ascii="Aptos" w:hAnsi="Aptos"/>
                <w:b w:val="0"/>
                <w:color w:val="172D2A"/>
                <w:sz w:val="16"/>
              </w:rPr>
              <w:t>Rows labeled Unknown</w:t>
            </w:r>
          </w:p>
        </w:tc>
        <w:tc>
          <w:tcPr>
            <w:tcW w:type="dxa" w:w="1656"/>
            <w:vAlign w:val="center"/>
            <w:shd w:fill="F0F3ED"/>
          </w:tcPr>
          <w:p>
            <w:pPr>
              <w:spacing w:after="0" w:before="0"/>
            </w:pPr>
            <w:r/>
            <w:r>
              <w:rPr>
                <w:rFonts w:ascii="Aptos" w:hAnsi="Aptos"/>
                <w:b w:val="0"/>
                <w:color w:val="172D2A"/>
                <w:sz w:val="16"/>
              </w:rPr>
              <w:t>24</w:t>
            </w:r>
          </w:p>
        </w:tc>
        <w:tc>
          <w:tcPr>
            <w:tcW w:type="dxa" w:w="4464"/>
            <w:vAlign w:val="center"/>
            <w:shd w:fill="F0F3ED"/>
          </w:tcPr>
          <w:p>
            <w:pPr>
              <w:spacing w:after="0" w:before="0"/>
            </w:pPr>
            <w:r/>
            <w:r>
              <w:rPr>
                <w:rFonts w:ascii="Aptos" w:hAnsi="Aptos"/>
                <w:b w:val="0"/>
                <w:color w:val="172D2A"/>
                <w:sz w:val="16"/>
              </w:rPr>
              <w:t>Unknown investor attribution should remain visible.</w:t>
            </w:r>
          </w:p>
        </w:tc>
      </w:tr>
      <w:tr>
        <w:trPr>
          <w:cantSplit/>
        </w:trPr>
        <w:tc>
          <w:tcPr>
            <w:tcW w:type="dxa" w:w="2880"/>
            <w:vAlign w:val="center"/>
          </w:tcPr>
          <w:p>
            <w:pPr>
              <w:spacing w:after="0" w:before="0"/>
            </w:pPr>
            <w:r/>
            <w:r>
              <w:rPr>
                <w:rFonts w:ascii="Aptos" w:hAnsi="Aptos"/>
                <w:b w:val="0"/>
                <w:color w:val="172D2A"/>
                <w:sz w:val="16"/>
              </w:rPr>
              <w:t>Rows labeled Undisclosed Investor(s)</w:t>
            </w:r>
          </w:p>
        </w:tc>
        <w:tc>
          <w:tcPr>
            <w:tcW w:type="dxa" w:w="1656"/>
            <w:vAlign w:val="center"/>
          </w:tcPr>
          <w:p>
            <w:pPr>
              <w:spacing w:after="0" w:before="0"/>
            </w:pPr>
            <w:r/>
            <w:r>
              <w:rPr>
                <w:rFonts w:ascii="Aptos" w:hAnsi="Aptos"/>
                <w:b w:val="0"/>
                <w:color w:val="172D2A"/>
                <w:sz w:val="16"/>
              </w:rPr>
              <w:t>115</w:t>
            </w:r>
          </w:p>
        </w:tc>
        <w:tc>
          <w:tcPr>
            <w:tcW w:type="dxa" w:w="4464"/>
            <w:vAlign w:val="center"/>
          </w:tcPr>
          <w:p>
            <w:pPr>
              <w:spacing w:after="0" w:before="0"/>
            </w:pPr>
            <w:r/>
            <w:r>
              <w:rPr>
                <w:rFonts w:ascii="Aptos" w:hAnsi="Aptos"/>
                <w:b w:val="0"/>
                <w:color w:val="172D2A"/>
                <w:sz w:val="16"/>
              </w:rPr>
              <w:t>Do not mix with named-investor ranking.</w:t>
            </w:r>
          </w:p>
        </w:tc>
      </w:tr>
      <w:tr>
        <w:trPr>
          <w:cantSplit/>
        </w:trPr>
        <w:tc>
          <w:tcPr>
            <w:tcW w:type="dxa" w:w="2880"/>
            <w:vAlign w:val="center"/>
            <w:shd w:fill="F0F3ED"/>
          </w:tcPr>
          <w:p>
            <w:pPr>
              <w:spacing w:after="0" w:before="0"/>
            </w:pPr>
            <w:r/>
            <w:r>
              <w:rPr>
                <w:rFonts w:ascii="Aptos" w:hAnsi="Aptos"/>
                <w:b w:val="0"/>
                <w:color w:val="172D2A"/>
                <w:sz w:val="16"/>
              </w:rPr>
              <w:t>Rows with multi-name strings</w:t>
            </w:r>
          </w:p>
        </w:tc>
        <w:tc>
          <w:tcPr>
            <w:tcW w:type="dxa" w:w="1656"/>
            <w:vAlign w:val="center"/>
            <w:shd w:fill="F0F3ED"/>
          </w:tcPr>
          <w:p>
            <w:pPr>
              <w:spacing w:after="0" w:before="0"/>
            </w:pPr>
            <w:r/>
            <w:r>
              <w:rPr>
                <w:rFonts w:ascii="Aptos" w:hAnsi="Aptos"/>
                <w:b w:val="0"/>
                <w:color w:val="172D2A"/>
                <w:sz w:val="16"/>
              </w:rPr>
              <w:t>1,447</w:t>
            </w:r>
          </w:p>
        </w:tc>
        <w:tc>
          <w:tcPr>
            <w:tcW w:type="dxa" w:w="4464"/>
            <w:vAlign w:val="center"/>
            <w:shd w:fill="F0F3ED"/>
          </w:tcPr>
          <w:p>
            <w:pPr>
              <w:spacing w:after="0" w:before="0"/>
            </w:pPr>
            <w:r/>
            <w:r>
              <w:rPr>
                <w:rFonts w:ascii="Aptos" w:hAnsi="Aptos"/>
                <w:b w:val="0"/>
                <w:color w:val="172D2A"/>
                <w:sz w:val="16"/>
              </w:rPr>
              <w:t>A row may list multiple investors separated by commas, “and”, or ampersands.</w:t>
            </w:r>
          </w:p>
        </w:tc>
      </w:tr>
    </w:tbl>
    <w:p>
      <w:pPr>
        <w:spacing w:after="0"/>
      </w:pPr>
    </w:p>
    <w:p>
      <w:pPr>
        <w:pStyle w:val="Heading2"/>
      </w:pPr>
      <w:r>
        <w:t>Why the current SQL ranking can mislead</w:t>
      </w:r>
    </w:p>
    <w:p>
      <w:pPr>
        <w:spacing w:after="100" w:line="259" w:lineRule="auto"/>
      </w:pPr>
      <w:r>
        <w:rPr>
          <w:rFonts w:ascii="Aptos" w:hAnsi="Aptos"/>
          <w:i w:val="0"/>
          <w:sz w:val="20"/>
        </w:rPr>
        <w:t>The supplied SQL examples group by Investors_Name and sum the full Amount_USD for each exact string. Where a cell contains several co-investors, the total is attributed to the group string, not individually to each investor. Splitting the string and assigning the full amount to each person would double-count capital unless the business rule explicitly calls for exposure rather than exclusive attribution.</w:t>
      </w:r>
    </w:p>
    <w:p>
      <w:pPr>
        <w:pStyle w:val="Heading2"/>
      </w:pPr>
      <w:r>
        <w:t>Recommended investor model</w:t>
      </w:r>
    </w:p>
    <w:p>
      <w:pPr>
        <w:pStyle w:val="ListBullet"/>
        <w:spacing w:after="60" w:line="247" w:lineRule="auto"/>
      </w:pPr>
      <w:r>
        <w:rPr>
          <w:rFonts w:ascii="Aptos" w:hAnsi="Aptos"/>
          <w:color w:val="172D2A"/>
          <w:sz w:val="19"/>
        </w:rPr>
        <w:t>Create a stable Funding_Round_ID for each record and an Investor dimension with canonical name, alias, and entity type (named / undisclosed / group).</w:t>
      </w:r>
    </w:p>
    <w:p>
      <w:pPr>
        <w:pStyle w:val="ListBullet"/>
        <w:spacing w:after="60" w:line="247" w:lineRule="auto"/>
      </w:pPr>
      <w:r>
        <w:rPr>
          <w:rFonts w:ascii="Aptos" w:hAnsi="Aptos"/>
          <w:color w:val="172D2A"/>
          <w:sz w:val="19"/>
        </w:rPr>
        <w:t>Create a FundingRoundInvestor bridge table to represent multi-investor relationships. Choose and document a funding attribution rule (full exposure per co-investor vs allocated shares); do not mix the two definitions.</w:t>
      </w:r>
    </w:p>
    <w:p>
      <w:pPr>
        <w:pStyle w:val="ListBullet"/>
        <w:spacing w:after="60" w:line="247" w:lineRule="auto"/>
      </w:pPr>
      <w:r>
        <w:rPr>
          <w:rFonts w:ascii="Aptos" w:hAnsi="Aptos"/>
          <w:color w:val="172D2A"/>
          <w:sz w:val="19"/>
        </w:rPr>
        <w:t>Show two separate rankings: deal involvement count and attributed/exposure amount, each clearly labeled. Keep Unknown and Undisclosed as explicit categories in the full view.</w:t>
      </w:r>
    </w:p>
    <w:p>
      <w:pPr>
        <w:pStyle w:val="Heading2"/>
      </w:pPr>
      <w:r>
        <w:t>SQL execution review</w:t>
      </w:r>
    </w:p>
    <w:p>
      <w:pPr>
        <w:pStyle w:val="ListBullet"/>
        <w:spacing w:after="60" w:line="247" w:lineRule="auto"/>
      </w:pPr>
      <w:r>
        <w:rPr>
          <w:rFonts w:ascii="Aptos" w:hAnsi="Aptos"/>
          <w:color w:val="172D2A"/>
          <w:sz w:val="19"/>
        </w:rPr>
        <w:t>The SQL PDF covers all six problem questions plus extra analyses (largest rounds, repeated fundraising, subverticals, city-industry pairs, and yearly startup/investor strings).</w:t>
      </w:r>
    </w:p>
    <w:p>
      <w:pPr>
        <w:pStyle w:val="ListBullet"/>
        <w:spacing w:after="60" w:line="247" w:lineRule="auto"/>
      </w:pPr>
      <w:r>
        <w:rPr>
          <w:rFonts w:ascii="Aptos" w:hAnsi="Aptos"/>
          <w:color w:val="172D2A"/>
          <w:sz w:val="19"/>
        </w:rPr>
        <w:t>MoM query needs a complete month calendar because 2019-03 has no row. The stored LAG-by-existing-month approach may skip a month and compare non-adjacent months.</w:t>
      </w:r>
    </w:p>
    <w:p>
      <w:pPr>
        <w:pStyle w:val="ListBullet"/>
        <w:spacing w:after="60" w:line="247" w:lineRule="auto"/>
      </w:pPr>
      <w:r>
        <w:rPr>
          <w:rFonts w:ascii="Aptos" w:hAnsi="Aptos"/>
          <w:color w:val="172D2A"/>
          <w:sz w:val="19"/>
        </w:rPr>
        <w:t>Power BI screenshot review found at least one investor table whose displayed row order is not descending by Total Funding, and some city totals do not reconcile to direct CSV aggregation. Confirm filters, sort settings, and refresh status before final submission.</w:t>
      </w:r>
    </w:p>
    <w:p>
      <w:r>
        <w:br w:type="page"/>
      </w:r>
    </w:p>
    <w:p>
      <w:pPr>
        <w:spacing w:after="40"/>
      </w:pPr>
      <w:r>
        <w:rPr>
          <w:rFonts w:ascii="Aptos" w:hAnsi="Aptos"/>
          <w:b/>
          <w:color w:val="D86A4A"/>
          <w:sz w:val="16"/>
        </w:rPr>
        <w:t>APPENDIX A | POWER BI SCREENSHOT</w:t>
      </w:r>
    </w:p>
    <w:p>
      <w:pPr>
        <w:spacing w:after="80"/>
      </w:pPr>
      <w:r>
        <w:rPr>
          <w:rFonts w:ascii="Aptos Display" w:hAnsi="Aptos Display"/>
          <w:b/>
          <w:color w:val="183F3A"/>
          <w:sz w:val="44"/>
        </w:rPr>
        <w:t>Executive Overview</w:t>
      </w:r>
    </w:p>
    <w:p>
      <w:pPr>
        <w:spacing w:after="100" w:line="259" w:lineRule="auto"/>
      </w:pPr>
      <w:r>
        <w:rPr>
          <w:rFonts w:ascii="Aptos" w:hAnsi="Aptos"/>
          <w:i w:val="0"/>
          <w:color w:val="66736D"/>
          <w:sz w:val="20"/>
        </w:rPr>
        <w:t>User-supplied screenshot; visual inspection only. These images are included as implementation evidence, not as a replacement for CSV-based calculations.</w:t>
      </w:r>
    </w:p>
    <w:p>
      <w:pPr>
        <w:jc w:val="center"/>
      </w:pPr>
      <w:r>
        <w:drawing>
          <wp:inline xmlns:a="http://schemas.openxmlformats.org/drawingml/2006/main" xmlns:pic="http://schemas.openxmlformats.org/drawingml/2006/picture">
            <wp:extent cx="6126480" cy="3097150"/>
            <wp:docPr id="7" name="Picture 7"/>
            <wp:cNvGraphicFramePr>
              <a:graphicFrameLocks noChangeAspect="1"/>
            </wp:cNvGraphicFramePr>
            <a:graphic>
              <a:graphicData uri="http://schemas.openxmlformats.org/drawingml/2006/picture">
                <pic:pic>
                  <pic:nvPicPr>
                    <pic:cNvPr id="0" name="image(20261028-081259).png"/>
                    <pic:cNvPicPr/>
                  </pic:nvPicPr>
                  <pic:blipFill>
                    <a:blip r:embed="rId17"/>
                    <a:stretch>
                      <a:fillRect/>
                    </a:stretch>
                  </pic:blipFill>
                  <pic:spPr>
                    <a:xfrm>
                      <a:off x="0" y="0"/>
                      <a:ext cx="6126480" cy="3097150"/>
                    </a:xfrm>
                    <a:prstGeom prst="rect"/>
                  </pic:spPr>
                </pic:pic>
              </a:graphicData>
            </a:graphic>
          </wp:inline>
        </w:drawing>
      </w:r>
    </w:p>
    <w:p>
      <w:pPr>
        <w:spacing w:after="120"/>
        <w:jc w:val="center"/>
      </w:pPr>
      <w:r>
        <w:rPr>
          <w:rFonts w:ascii="Aptos" w:hAnsi="Aptos"/>
          <w:i/>
          <w:color w:val="66736D"/>
          <w:sz w:val="16"/>
        </w:rPr>
        <w:t>Visual review: the total disclosed funding shown is consistent with the CSV (approximately $38.14B). The City Count displayed as 72 is not reconciled to the 73 distinct raw City labels in the supplied CSV; industry group totals also depend on an undocumented mapping.</w:t>
      </w:r>
    </w:p>
    <w:p>
      <w:pPr>
        <w:spacing w:after="100" w:line="259" w:lineRule="auto"/>
      </w:pPr>
      <w:r>
        <w:rPr>
          <w:rFonts w:ascii="Aptos" w:hAnsi="Aptos"/>
          <w:i w:val="0"/>
          <w:sz w:val="20"/>
        </w:rPr>
        <w:t>Validation rule: after refresh, reconcile the cards and tables to the cleaned CSV under the same filter context. Record the intended measure definition (all records vs disclosed records), aggregation grain, and category mappings on the dashboard or in documentation.</w:t>
      </w:r>
    </w:p>
    <w:p>
      <w:r>
        <w:br w:type="page"/>
      </w:r>
    </w:p>
    <w:p>
      <w:pPr>
        <w:spacing w:after="40"/>
      </w:pPr>
      <w:r>
        <w:rPr>
          <w:rFonts w:ascii="Aptos" w:hAnsi="Aptos"/>
          <w:b/>
          <w:color w:val="D86A4A"/>
          <w:sz w:val="16"/>
        </w:rPr>
        <w:t>APPENDIX B | POWER BI SCREENSHOT</w:t>
      </w:r>
    </w:p>
    <w:p>
      <w:pPr>
        <w:spacing w:after="80"/>
      </w:pPr>
      <w:r>
        <w:rPr>
          <w:rFonts w:ascii="Aptos Display" w:hAnsi="Aptos Display"/>
          <w:b/>
          <w:color w:val="183F3A"/>
          <w:sz w:val="44"/>
        </w:rPr>
        <w:t>Industry, City &amp; Investor Analysis</w:t>
      </w:r>
    </w:p>
    <w:p>
      <w:pPr>
        <w:spacing w:after="100" w:line="259" w:lineRule="auto"/>
      </w:pPr>
      <w:r>
        <w:rPr>
          <w:rFonts w:ascii="Aptos" w:hAnsi="Aptos"/>
          <w:i w:val="0"/>
          <w:color w:val="66736D"/>
          <w:sz w:val="20"/>
        </w:rPr>
        <w:t>User-supplied screenshot; visual inspection only. These images are included as implementation evidence, not as a replacement for CSV-based calculations.</w:t>
      </w:r>
    </w:p>
    <w:p>
      <w:pPr>
        <w:jc w:val="center"/>
      </w:pPr>
      <w:r>
        <w:drawing>
          <wp:inline xmlns:a="http://schemas.openxmlformats.org/drawingml/2006/main" xmlns:pic="http://schemas.openxmlformats.org/drawingml/2006/picture">
            <wp:extent cx="6126480" cy="3428831"/>
            <wp:docPr id="8" name="Picture 8"/>
            <wp:cNvGraphicFramePr>
              <a:graphicFrameLocks noChangeAspect="1"/>
            </wp:cNvGraphicFramePr>
            <a:graphic>
              <a:graphicData uri="http://schemas.openxmlformats.org/drawingml/2006/picture">
                <pic:pic>
                  <pic:nvPicPr>
                    <pic:cNvPr id="0" name="image(20261028-081318).png"/>
                    <pic:cNvPicPr/>
                  </pic:nvPicPr>
                  <pic:blipFill>
                    <a:blip r:embed="rId18"/>
                    <a:stretch>
                      <a:fillRect/>
                    </a:stretch>
                  </pic:blipFill>
                  <pic:spPr>
                    <a:xfrm>
                      <a:off x="0" y="0"/>
                      <a:ext cx="6126480" cy="3428831"/>
                    </a:xfrm>
                    <a:prstGeom prst="rect"/>
                  </pic:spPr>
                </pic:pic>
              </a:graphicData>
            </a:graphic>
          </wp:inline>
        </w:drawing>
      </w:r>
    </w:p>
    <w:p>
      <w:pPr>
        <w:spacing w:after="120"/>
        <w:jc w:val="center"/>
      </w:pPr>
      <w:r>
        <w:rPr>
          <w:rFonts w:ascii="Aptos" w:hAnsi="Aptos"/>
          <w:i/>
          <w:color w:val="66736D"/>
          <w:sz w:val="16"/>
        </w:rPr>
        <w:t>Visual review: the dashboard contains city map, Top 10 city table, industry treemap, and investor views. Some table city totals (for example, Mumbai) differ from direct aggregation of the supplied CSV. The investor table also requires sorting by funding descending and entity-level attribution controls.</w:t>
      </w:r>
    </w:p>
    <w:p>
      <w:pPr>
        <w:spacing w:after="100" w:line="259" w:lineRule="auto"/>
      </w:pPr>
      <w:r>
        <w:rPr>
          <w:rFonts w:ascii="Aptos" w:hAnsi="Aptos"/>
          <w:i w:val="0"/>
          <w:sz w:val="20"/>
        </w:rPr>
        <w:t>Validation rule: after refresh, reconcile the cards and tables to the cleaned CSV under the same filter context. Record the intended measure definition (all records vs disclosed records), aggregation grain, and category mappings on the dashboard or in documentation.</w:t>
      </w:r>
    </w:p>
    <w:p>
      <w:r>
        <w:br w:type="page"/>
      </w:r>
    </w:p>
    <w:p>
      <w:pPr>
        <w:spacing w:after="40"/>
      </w:pPr>
      <w:r>
        <w:rPr>
          <w:rFonts w:ascii="Aptos" w:hAnsi="Aptos"/>
          <w:b/>
          <w:color w:val="D86A4A"/>
          <w:sz w:val="16"/>
        </w:rPr>
        <w:t>APPENDIX C | POWER BI SCREENSHOT</w:t>
      </w:r>
    </w:p>
    <w:p>
      <w:pPr>
        <w:spacing w:after="80"/>
      </w:pPr>
      <w:r>
        <w:rPr>
          <w:rFonts w:ascii="Aptos Display" w:hAnsi="Aptos Display"/>
          <w:b/>
          <w:color w:val="183F3A"/>
          <w:sz w:val="44"/>
        </w:rPr>
        <w:t>Funding Stage &amp; Deal Size Analysis</w:t>
      </w:r>
    </w:p>
    <w:p>
      <w:pPr>
        <w:spacing w:after="100" w:line="259" w:lineRule="auto"/>
      </w:pPr>
      <w:r>
        <w:rPr>
          <w:rFonts w:ascii="Aptos" w:hAnsi="Aptos"/>
          <w:i w:val="0"/>
          <w:color w:val="66736D"/>
          <w:sz w:val="20"/>
        </w:rPr>
        <w:t>User-supplied screenshot; visual inspection only. These images are included as implementation evidence, not as a replacement for CSV-based calculations.</w:t>
      </w:r>
    </w:p>
    <w:p>
      <w:pPr>
        <w:jc w:val="center"/>
      </w:pPr>
      <w:r>
        <w:drawing>
          <wp:inline xmlns:a="http://schemas.openxmlformats.org/drawingml/2006/main" xmlns:pic="http://schemas.openxmlformats.org/drawingml/2006/picture">
            <wp:extent cx="6126480" cy="3391605"/>
            <wp:docPr id="9" name="Picture 9"/>
            <wp:cNvGraphicFramePr>
              <a:graphicFrameLocks noChangeAspect="1"/>
            </wp:cNvGraphicFramePr>
            <a:graphic>
              <a:graphicData uri="http://schemas.openxmlformats.org/drawingml/2006/picture">
                <pic:pic>
                  <pic:nvPicPr>
                    <pic:cNvPr id="0" name="image(20261028-081334).png"/>
                    <pic:cNvPicPr/>
                  </pic:nvPicPr>
                  <pic:blipFill>
                    <a:blip r:embed="rId19"/>
                    <a:stretch>
                      <a:fillRect/>
                    </a:stretch>
                  </pic:blipFill>
                  <pic:spPr>
                    <a:xfrm>
                      <a:off x="0" y="0"/>
                      <a:ext cx="6126480" cy="3391605"/>
                    </a:xfrm>
                    <a:prstGeom prst="rect"/>
                  </pic:spPr>
                </pic:pic>
              </a:graphicData>
            </a:graphic>
          </wp:inline>
        </w:drawing>
      </w:r>
    </w:p>
    <w:p>
      <w:pPr>
        <w:spacing w:after="120"/>
        <w:jc w:val="center"/>
      </w:pPr>
      <w:r>
        <w:rPr>
          <w:rFonts w:ascii="Aptos" w:hAnsi="Aptos"/>
          <w:i/>
          <w:color w:val="66736D"/>
          <w:sz w:val="16"/>
        </w:rPr>
        <w:t>Visual review: the layout shows stage funding, year composition, deal-size bands, and average/median by stage. Its ad hoc Funding Stage mapping differs from Investment_Type_Clean, so document the mapping and reconcile chart values. Deal-size categories use numeric prefixes to force sort order; do not remove those sort keys without replacing the sort logic.</w:t>
      </w:r>
    </w:p>
    <w:p>
      <w:pPr>
        <w:spacing w:after="100" w:line="259" w:lineRule="auto"/>
      </w:pPr>
      <w:r>
        <w:rPr>
          <w:rFonts w:ascii="Aptos" w:hAnsi="Aptos"/>
          <w:i w:val="0"/>
          <w:sz w:val="20"/>
        </w:rPr>
        <w:t>Validation rule: after refresh, reconcile the cards and tables to the cleaned CSV under the same filter context. Record the intended measure definition (all records vs disclosed records), aggregation grain, and category mappings on the dashboard or in documentation.</w:t>
      </w:r>
    </w:p>
    <w:p>
      <w:r>
        <w:br w:type="page"/>
      </w:r>
    </w:p>
    <w:p>
      <w:pPr>
        <w:spacing w:after="40"/>
      </w:pPr>
      <w:r>
        <w:rPr>
          <w:rFonts w:ascii="Aptos" w:hAnsi="Aptos"/>
          <w:b/>
          <w:color w:val="D86A4A"/>
          <w:sz w:val="16"/>
        </w:rPr>
        <w:t>10 | RECOMMENDATIONS</w:t>
      </w:r>
    </w:p>
    <w:p>
      <w:pPr>
        <w:spacing w:after="80"/>
      </w:pPr>
      <w:r>
        <w:rPr>
          <w:rFonts w:ascii="Aptos Display" w:hAnsi="Aptos Display"/>
          <w:b/>
          <w:color w:val="183F3A"/>
          <w:sz w:val="44"/>
        </w:rPr>
        <w:t>Five actions to make the analysis decision-ready</w:t>
      </w:r>
    </w:p>
    <w:p>
      <w:pPr>
        <w:spacing w:after="100" w:line="259" w:lineRule="auto"/>
      </w:pPr>
      <w:r>
        <w:rPr>
          <w:rFonts w:ascii="Aptos" w:hAnsi="Aptos"/>
          <w:i w:val="0"/>
          <w:color w:val="66736D"/>
          <w:sz w:val="20"/>
        </w:rPr>
        <w:t>Prioritize controls that affect financial totals and rankings before polishing additional visuals.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656"/>
            <w:vAlign w:val="center"/>
            <w:shd w:fill="183F3A"/>
          </w:tcPr>
          <w:p>
            <w:pPr>
              <w:spacing w:after="0" w:before="0"/>
            </w:pPr>
            <w:r/>
            <w:r>
              <w:rPr>
                <w:rFonts w:ascii="Aptos" w:hAnsi="Aptos"/>
                <w:b/>
                <w:color w:val="FFFFFF"/>
                <w:sz w:val="15"/>
              </w:rPr>
              <w:t>Priority</w:t>
            </w:r>
          </w:p>
        </w:tc>
        <w:tc>
          <w:tcPr>
            <w:tcW w:type="dxa" w:w="2232"/>
            <w:vAlign w:val="center"/>
            <w:shd w:fill="183F3A"/>
          </w:tcPr>
          <w:p>
            <w:pPr>
              <w:spacing w:after="0" w:before="0"/>
            </w:pPr>
            <w:r/>
            <w:r>
              <w:rPr>
                <w:rFonts w:ascii="Aptos" w:hAnsi="Aptos"/>
                <w:b/>
                <w:color w:val="FFFFFF"/>
                <w:sz w:val="15"/>
              </w:rPr>
              <w:t>Action</w:t>
            </w:r>
          </w:p>
        </w:tc>
        <w:tc>
          <w:tcPr>
            <w:tcW w:type="dxa" w:w="5760"/>
            <w:vAlign w:val="center"/>
            <w:shd w:fill="183F3A"/>
          </w:tcPr>
          <w:p>
            <w:pPr>
              <w:spacing w:after="0" w:before="0"/>
            </w:pPr>
            <w:r/>
            <w:r>
              <w:rPr>
                <w:rFonts w:ascii="Aptos" w:hAnsi="Aptos"/>
                <w:b/>
                <w:color w:val="FFFFFF"/>
                <w:sz w:val="15"/>
              </w:rPr>
              <w:t>What to do</w:t>
            </w:r>
          </w:p>
        </w:tc>
      </w:tr>
      <w:tr>
        <w:trPr>
          <w:cantSplit/>
        </w:trPr>
        <w:tc>
          <w:tcPr>
            <w:tcW w:type="dxa" w:w="1656"/>
            <w:vAlign w:val="center"/>
          </w:tcPr>
          <w:p>
            <w:pPr>
              <w:spacing w:after="0" w:before="0"/>
            </w:pPr>
            <w:r/>
            <w:r>
              <w:rPr>
                <w:rFonts w:ascii="Aptos" w:hAnsi="Aptos"/>
                <w:b w:val="0"/>
                <w:color w:val="172D2A"/>
                <w:sz w:val="15"/>
              </w:rPr>
              <w:t>P0 · Before submission</w:t>
            </w:r>
          </w:p>
        </w:tc>
        <w:tc>
          <w:tcPr>
            <w:tcW w:type="dxa" w:w="2232"/>
            <w:vAlign w:val="center"/>
          </w:tcPr>
          <w:p>
            <w:pPr>
              <w:spacing w:after="0" w:before="0"/>
            </w:pPr>
            <w:r/>
            <w:r>
              <w:rPr>
                <w:rFonts w:ascii="Aptos" w:hAnsi="Aptos"/>
                <w:b w:val="0"/>
                <w:color w:val="172D2A"/>
                <w:sz w:val="15"/>
              </w:rPr>
              <w:t>Reconcile dashboard to CSV</w:t>
            </w:r>
          </w:p>
        </w:tc>
        <w:tc>
          <w:tcPr>
            <w:tcW w:type="dxa" w:w="5760"/>
            <w:vAlign w:val="center"/>
          </w:tcPr>
          <w:p>
            <w:pPr>
              <w:spacing w:after="0" w:before="0"/>
            </w:pPr>
            <w:r/>
            <w:r>
              <w:rPr>
                <w:rFonts w:ascii="Aptos" w:hAnsi="Aptos"/>
                <w:b w:val="0"/>
                <w:color w:val="172D2A"/>
                <w:sz w:val="15"/>
              </w:rPr>
              <w:t>Refresh the Power BI model from the exact cleaned CSV. Reconcile total funding ($38.1439B), 3,044 records, 2,073 numeric amounts, and disclosure rate (68.1%). Investigate the City Count and city-table discrepancies.</w:t>
            </w:r>
          </w:p>
        </w:tc>
      </w:tr>
      <w:tr>
        <w:trPr>
          <w:cantSplit/>
        </w:trPr>
        <w:tc>
          <w:tcPr>
            <w:tcW w:type="dxa" w:w="1656"/>
            <w:vAlign w:val="center"/>
            <w:shd w:fill="F0F3ED"/>
          </w:tcPr>
          <w:p>
            <w:pPr>
              <w:spacing w:after="0" w:before="0"/>
            </w:pPr>
            <w:r/>
            <w:r>
              <w:rPr>
                <w:rFonts w:ascii="Aptos" w:hAnsi="Aptos"/>
                <w:b w:val="0"/>
                <w:color w:val="172D2A"/>
                <w:sz w:val="15"/>
              </w:rPr>
              <w:t>P0 · Before decision use</w:t>
            </w:r>
          </w:p>
        </w:tc>
        <w:tc>
          <w:tcPr>
            <w:tcW w:type="dxa" w:w="2232"/>
            <w:vAlign w:val="center"/>
            <w:shd w:fill="F0F3ED"/>
          </w:tcPr>
          <w:p>
            <w:pPr>
              <w:spacing w:after="0" w:before="0"/>
            </w:pPr>
            <w:r/>
            <w:r>
              <w:rPr>
                <w:rFonts w:ascii="Aptos" w:hAnsi="Aptos"/>
                <w:b w:val="0"/>
                <w:color w:val="172D2A"/>
                <w:sz w:val="15"/>
              </w:rPr>
              <w:t>Validate the $3.9B recorded round</w:t>
            </w:r>
          </w:p>
        </w:tc>
        <w:tc>
          <w:tcPr>
            <w:tcW w:type="dxa" w:w="5760"/>
            <w:vAlign w:val="center"/>
            <w:shd w:fill="F0F3ED"/>
          </w:tcPr>
          <w:p>
            <w:pPr>
              <w:spacing w:after="0" w:before="0"/>
            </w:pPr>
            <w:r/>
            <w:r>
              <w:rPr>
                <w:rFonts w:ascii="Aptos" w:hAnsi="Aptos"/>
                <w:b w:val="0"/>
                <w:color w:val="172D2A"/>
                <w:sz w:val="15"/>
              </w:rPr>
              <w:t>Verify the Rapido Bike Taxi / Transportation / Series B record against a trusted source and confirm currency/units. Keep it flagged until confirmed; do not silently drop it.</w:t>
            </w:r>
          </w:p>
        </w:tc>
      </w:tr>
      <w:tr>
        <w:trPr>
          <w:cantSplit/>
        </w:trPr>
        <w:tc>
          <w:tcPr>
            <w:tcW w:type="dxa" w:w="1656"/>
            <w:vAlign w:val="center"/>
          </w:tcPr>
          <w:p>
            <w:pPr>
              <w:spacing w:after="0" w:before="0"/>
            </w:pPr>
            <w:r/>
            <w:r>
              <w:rPr>
                <w:rFonts w:ascii="Aptos" w:hAnsi="Aptos"/>
                <w:b w:val="0"/>
                <w:color w:val="172D2A"/>
                <w:sz w:val="15"/>
              </w:rPr>
              <w:t>P1 · 1 week</w:t>
            </w:r>
          </w:p>
        </w:tc>
        <w:tc>
          <w:tcPr>
            <w:tcW w:type="dxa" w:w="2232"/>
            <w:vAlign w:val="center"/>
          </w:tcPr>
          <w:p>
            <w:pPr>
              <w:spacing w:after="0" w:before="0"/>
            </w:pPr>
            <w:r/>
            <w:r>
              <w:rPr>
                <w:rFonts w:ascii="Aptos" w:hAnsi="Aptos"/>
                <w:b w:val="0"/>
                <w:color w:val="172D2A"/>
                <w:sz w:val="15"/>
              </w:rPr>
              <w:t>Standardize industry taxonomy</w:t>
            </w:r>
          </w:p>
        </w:tc>
        <w:tc>
          <w:tcPr>
            <w:tcW w:type="dxa" w:w="5760"/>
            <w:vAlign w:val="center"/>
          </w:tcPr>
          <w:p>
            <w:pPr>
              <w:spacing w:after="0" w:before="0"/>
            </w:pPr>
            <w:r/>
            <w:r>
              <w:rPr>
                <w:rFonts w:ascii="Aptos" w:hAnsi="Aptos"/>
                <w:b w:val="0"/>
                <w:color w:val="172D2A"/>
                <w:sz w:val="15"/>
              </w:rPr>
              <w:t>Map 822 raw labels to a governed canonical industry field. Begin with exact case/punctuation variants and review semantic groupings such as e-commerce, marketplace, and M-commerce with a documented dictionary.</w:t>
            </w:r>
          </w:p>
        </w:tc>
      </w:tr>
      <w:tr>
        <w:trPr>
          <w:cantSplit/>
        </w:trPr>
        <w:tc>
          <w:tcPr>
            <w:tcW w:type="dxa" w:w="1656"/>
            <w:vAlign w:val="center"/>
            <w:shd w:fill="F0F3ED"/>
          </w:tcPr>
          <w:p>
            <w:pPr>
              <w:spacing w:after="0" w:before="0"/>
            </w:pPr>
            <w:r/>
            <w:r>
              <w:rPr>
                <w:rFonts w:ascii="Aptos" w:hAnsi="Aptos"/>
                <w:b w:val="0"/>
                <w:color w:val="172D2A"/>
                <w:sz w:val="15"/>
              </w:rPr>
              <w:t>P1 · 1 week</w:t>
            </w:r>
          </w:p>
        </w:tc>
        <w:tc>
          <w:tcPr>
            <w:tcW w:type="dxa" w:w="2232"/>
            <w:vAlign w:val="center"/>
            <w:shd w:fill="F0F3ED"/>
          </w:tcPr>
          <w:p>
            <w:pPr>
              <w:spacing w:after="0" w:before="0"/>
            </w:pPr>
            <w:r/>
            <w:r>
              <w:rPr>
                <w:rFonts w:ascii="Aptos" w:hAnsi="Aptos"/>
                <w:b w:val="0"/>
                <w:color w:val="172D2A"/>
                <w:sz w:val="15"/>
              </w:rPr>
              <w:t>Normalize city geography</w:t>
            </w:r>
          </w:p>
        </w:tc>
        <w:tc>
          <w:tcPr>
            <w:tcW w:type="dxa" w:w="5760"/>
            <w:vAlign w:val="center"/>
            <w:shd w:fill="F0F3ED"/>
          </w:tcPr>
          <w:p>
            <w:pPr>
              <w:spacing w:after="0" w:before="0"/>
            </w:pPr>
            <w:r/>
            <w:r>
              <w:rPr>
                <w:rFonts w:ascii="Aptos" w:hAnsi="Aptos"/>
                <w:b w:val="0"/>
                <w:color w:val="172D2A"/>
                <w:sz w:val="15"/>
              </w:rPr>
              <w:t>Create canonical city, state, country and geography-status fields. Preserve raw city strings; only classify foreign, state-only, country-only, and unknown records into “Other” in a dedicated India-focused view.</w:t>
            </w:r>
          </w:p>
        </w:tc>
      </w:tr>
      <w:tr>
        <w:trPr>
          <w:cantSplit/>
        </w:trPr>
        <w:tc>
          <w:tcPr>
            <w:tcW w:type="dxa" w:w="1656"/>
            <w:vAlign w:val="center"/>
          </w:tcPr>
          <w:p>
            <w:pPr>
              <w:spacing w:after="0" w:before="0"/>
            </w:pPr>
            <w:r/>
            <w:r>
              <w:rPr>
                <w:rFonts w:ascii="Aptos" w:hAnsi="Aptos"/>
                <w:b w:val="0"/>
                <w:color w:val="172D2A"/>
                <w:sz w:val="15"/>
              </w:rPr>
              <w:t>P1 · 1–2 weeks</w:t>
            </w:r>
          </w:p>
        </w:tc>
        <w:tc>
          <w:tcPr>
            <w:tcW w:type="dxa" w:w="2232"/>
            <w:vAlign w:val="center"/>
          </w:tcPr>
          <w:p>
            <w:pPr>
              <w:spacing w:after="0" w:before="0"/>
            </w:pPr>
            <w:r/>
            <w:r>
              <w:rPr>
                <w:rFonts w:ascii="Aptos" w:hAnsi="Aptos"/>
                <w:b w:val="0"/>
                <w:color w:val="172D2A"/>
                <w:sz w:val="15"/>
              </w:rPr>
              <w:t>Build investor dimension + bridge</w:t>
            </w:r>
          </w:p>
        </w:tc>
        <w:tc>
          <w:tcPr>
            <w:tcW w:type="dxa" w:w="5760"/>
            <w:vAlign w:val="center"/>
          </w:tcPr>
          <w:p>
            <w:pPr>
              <w:spacing w:after="0" w:before="0"/>
            </w:pPr>
            <w:r/>
            <w:r>
              <w:rPr>
                <w:rFonts w:ascii="Aptos" w:hAnsi="Aptos"/>
                <w:b w:val="0"/>
                <w:color w:val="172D2A"/>
                <w:sz w:val="15"/>
              </w:rPr>
              <w:t>Normalize aliases and model each named investor separately. Define co-investor funding attribution before ranking totals. Preserve Unknown and Undisclosed as explicit values.</w:t>
            </w:r>
          </w:p>
        </w:tc>
      </w:tr>
      <w:tr>
        <w:trPr>
          <w:cantSplit/>
        </w:trPr>
        <w:tc>
          <w:tcPr>
            <w:tcW w:type="dxa" w:w="1656"/>
            <w:vAlign w:val="center"/>
            <w:shd w:fill="F0F3ED"/>
          </w:tcPr>
          <w:p>
            <w:pPr>
              <w:spacing w:after="0" w:before="0"/>
            </w:pPr>
            <w:r/>
            <w:r>
              <w:rPr>
                <w:rFonts w:ascii="Aptos" w:hAnsi="Aptos"/>
                <w:b w:val="0"/>
                <w:color w:val="172D2A"/>
                <w:sz w:val="15"/>
              </w:rPr>
              <w:t>P2 · 1–2 weeks</w:t>
            </w:r>
          </w:p>
        </w:tc>
        <w:tc>
          <w:tcPr>
            <w:tcW w:type="dxa" w:w="2232"/>
            <w:vAlign w:val="center"/>
            <w:shd w:fill="F0F3ED"/>
          </w:tcPr>
          <w:p>
            <w:pPr>
              <w:spacing w:after="0" w:before="0"/>
            </w:pPr>
            <w:r/>
            <w:r>
              <w:rPr>
                <w:rFonts w:ascii="Aptos" w:hAnsi="Aptos"/>
                <w:b w:val="0"/>
                <w:color w:val="172D2A"/>
                <w:sz w:val="15"/>
              </w:rPr>
              <w:t>Make trends period-safe</w:t>
            </w:r>
          </w:p>
        </w:tc>
        <w:tc>
          <w:tcPr>
            <w:tcW w:type="dxa" w:w="5760"/>
            <w:vAlign w:val="center"/>
            <w:shd w:fill="F0F3ED"/>
          </w:tcPr>
          <w:p>
            <w:pPr>
              <w:spacing w:after="0" w:before="0"/>
            </w:pPr>
            <w:r/>
            <w:r>
              <w:rPr>
                <w:rFonts w:ascii="Aptos" w:hAnsi="Aptos"/>
                <w:b w:val="0"/>
                <w:color w:val="172D2A"/>
                <w:sz w:val="15"/>
              </w:rPr>
              <w:t>Join a complete calendar-month spine for MoM. Treat missing 2019-03 explicitly. Avoid full-year 2020 comparisons; use Jan-to-Jan if a like-for-like check is needed.</w:t>
            </w:r>
          </w:p>
        </w:tc>
      </w:tr>
      <w:tr>
        <w:trPr>
          <w:cantSplit/>
        </w:trPr>
        <w:tc>
          <w:tcPr>
            <w:tcW w:type="dxa" w:w="1656"/>
            <w:vAlign w:val="center"/>
          </w:tcPr>
          <w:p>
            <w:pPr>
              <w:spacing w:after="0" w:before="0"/>
            </w:pPr>
            <w:r/>
            <w:r>
              <w:rPr>
                <w:rFonts w:ascii="Aptos" w:hAnsi="Aptos"/>
                <w:b w:val="0"/>
                <w:color w:val="172D2A"/>
                <w:sz w:val="15"/>
              </w:rPr>
              <w:t>P2 · Ongoing</w:t>
            </w:r>
          </w:p>
        </w:tc>
        <w:tc>
          <w:tcPr>
            <w:tcW w:type="dxa" w:w="2232"/>
            <w:vAlign w:val="center"/>
          </w:tcPr>
          <w:p>
            <w:pPr>
              <w:spacing w:after="0" w:before="0"/>
            </w:pPr>
            <w:r/>
            <w:r>
              <w:rPr>
                <w:rFonts w:ascii="Aptos" w:hAnsi="Aptos"/>
                <w:b w:val="0"/>
                <w:color w:val="172D2A"/>
                <w:sz w:val="15"/>
              </w:rPr>
              <w:t>Automate QA checks</w:t>
            </w:r>
          </w:p>
        </w:tc>
        <w:tc>
          <w:tcPr>
            <w:tcW w:type="dxa" w:w="5760"/>
            <w:vAlign w:val="center"/>
          </w:tcPr>
          <w:p>
            <w:pPr>
              <w:spacing w:after="0" w:before="0"/>
            </w:pPr>
            <w:r/>
            <w:r>
              <w:rPr>
                <w:rFonts w:ascii="Aptos" w:hAnsi="Aptos"/>
                <w:b w:val="0"/>
                <w:color w:val="172D2A"/>
                <w:sz w:val="15"/>
              </w:rPr>
              <w:t>Run row count, disclosure rate, duplicate count, source-date coverage, unknown taxonomy rate, amount outlier checks, and Power BI-to-CSV reconciliation on every refresh.</w:t>
            </w:r>
          </w:p>
        </w:tc>
      </w:tr>
    </w:tbl>
    <w:p>
      <w:pPr>
        <w:spacing w:after="0"/>
      </w:pPr>
    </w:p>
    <w:p>
      <w:pPr>
        <w:pStyle w:val="Heading2"/>
      </w:pPr>
      <w:r>
        <w:t>Business use after controls</w:t>
      </w:r>
    </w:p>
    <w:p>
      <w:pPr>
        <w:spacing w:after="100" w:line="259" w:lineRule="auto"/>
      </w:pPr>
      <w:r>
        <w:rPr>
          <w:rFonts w:ascii="Aptos" w:hAnsi="Aptos"/>
          <w:i w:val="0"/>
          <w:sz w:val="20"/>
        </w:rPr>
        <w:t>Once these checks pass, use the report to monitor disclosed capital concentration by year, stage, industry, and city; use median deal size alongside average; and use investor insights only after co-investor identity and attribution rules are formalized.</w:t>
      </w:r>
    </w:p>
    <w:p>
      <w:r>
        <w:br w:type="page"/>
      </w:r>
    </w:p>
    <w:p>
      <w:pPr>
        <w:spacing w:after="40"/>
      </w:pPr>
      <w:r>
        <w:rPr>
          <w:rFonts w:ascii="Aptos" w:hAnsi="Aptos"/>
          <w:b/>
          <w:color w:val="D86A4A"/>
          <w:sz w:val="16"/>
        </w:rPr>
        <w:t>11 | IMPLEMENTATION ROADMAP</w:t>
      </w:r>
    </w:p>
    <w:p>
      <w:pPr>
        <w:spacing w:after="80"/>
      </w:pPr>
      <w:r>
        <w:rPr>
          <w:rFonts w:ascii="Aptos Display" w:hAnsi="Aptos Display"/>
          <w:b/>
          <w:color w:val="183F3A"/>
          <w:sz w:val="44"/>
        </w:rPr>
        <w:t>A practical 30-day path from descriptive report to governed insight</w:t>
      </w:r>
    </w:p>
    <w:p>
      <w:pPr>
        <w:spacing w:after="100" w:line="259" w:lineRule="auto"/>
      </w:pPr>
      <w:r>
        <w:rPr>
          <w:rFonts w:ascii="Aptos" w:hAnsi="Aptos"/>
          <w:i w:val="0"/>
          <w:color w:val="66736D"/>
          <w:sz w:val="20"/>
        </w:rPr>
        <w:t>The roadmap below is proposed; it is not a claim that the actions have already been implemented.</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1152"/>
            <w:vAlign w:val="center"/>
            <w:shd w:fill="183F3A"/>
          </w:tcPr>
          <w:p>
            <w:pPr>
              <w:spacing w:after="0" w:before="0"/>
            </w:pPr>
            <w:r/>
            <w:r>
              <w:rPr>
                <w:rFonts w:ascii="Aptos" w:hAnsi="Aptos"/>
                <w:b/>
                <w:color w:val="FFFFFF"/>
                <w:sz w:val="16"/>
              </w:rPr>
              <w:t>Timing</w:t>
            </w:r>
          </w:p>
        </w:tc>
        <w:tc>
          <w:tcPr>
            <w:tcW w:type="dxa" w:w="1944"/>
            <w:vAlign w:val="center"/>
            <w:shd w:fill="183F3A"/>
          </w:tcPr>
          <w:p>
            <w:pPr>
              <w:spacing w:after="0" w:before="0"/>
            </w:pPr>
            <w:r/>
            <w:r>
              <w:rPr>
                <w:rFonts w:ascii="Aptos" w:hAnsi="Aptos"/>
                <w:b/>
                <w:color w:val="FFFFFF"/>
                <w:sz w:val="16"/>
              </w:rPr>
              <w:t>Workstream</w:t>
            </w:r>
          </w:p>
        </w:tc>
        <w:tc>
          <w:tcPr>
            <w:tcW w:type="dxa" w:w="2880"/>
            <w:vAlign w:val="center"/>
            <w:shd w:fill="183F3A"/>
          </w:tcPr>
          <w:p>
            <w:pPr>
              <w:spacing w:after="0" w:before="0"/>
            </w:pPr>
            <w:r/>
            <w:r>
              <w:rPr>
                <w:rFonts w:ascii="Aptos" w:hAnsi="Aptos"/>
                <w:b/>
                <w:color w:val="FFFFFF"/>
                <w:sz w:val="16"/>
              </w:rPr>
              <w:t>Deliverable</w:t>
            </w:r>
          </w:p>
        </w:tc>
        <w:tc>
          <w:tcPr>
            <w:tcW w:type="dxa" w:w="3672"/>
            <w:vAlign w:val="center"/>
            <w:shd w:fill="183F3A"/>
          </w:tcPr>
          <w:p>
            <w:pPr>
              <w:spacing w:after="0" w:before="0"/>
            </w:pPr>
            <w:r/>
            <w:r>
              <w:rPr>
                <w:rFonts w:ascii="Aptos" w:hAnsi="Aptos"/>
                <w:b/>
                <w:color w:val="FFFFFF"/>
                <w:sz w:val="16"/>
              </w:rPr>
              <w:t>Exit criterion</w:t>
            </w:r>
          </w:p>
        </w:tc>
      </w:tr>
      <w:tr>
        <w:trPr>
          <w:cantSplit/>
        </w:trPr>
        <w:tc>
          <w:tcPr>
            <w:tcW w:type="dxa" w:w="1152"/>
            <w:vAlign w:val="center"/>
          </w:tcPr>
          <w:p>
            <w:pPr>
              <w:spacing w:after="0" w:before="0"/>
            </w:pPr>
            <w:r/>
            <w:r>
              <w:rPr>
                <w:rFonts w:ascii="Aptos" w:hAnsi="Aptos"/>
                <w:b w:val="0"/>
                <w:color w:val="172D2A"/>
                <w:sz w:val="16"/>
              </w:rPr>
              <w:t>Days 0–2</w:t>
            </w:r>
          </w:p>
        </w:tc>
        <w:tc>
          <w:tcPr>
            <w:tcW w:type="dxa" w:w="1944"/>
            <w:vAlign w:val="center"/>
          </w:tcPr>
          <w:p>
            <w:pPr>
              <w:spacing w:after="0" w:before="0"/>
            </w:pPr>
            <w:r/>
            <w:r>
              <w:rPr>
                <w:rFonts w:ascii="Aptos" w:hAnsi="Aptos"/>
                <w:b w:val="0"/>
                <w:color w:val="172D2A"/>
                <w:sz w:val="16"/>
              </w:rPr>
              <w:t>Reconciliation</w:t>
            </w:r>
          </w:p>
        </w:tc>
        <w:tc>
          <w:tcPr>
            <w:tcW w:type="dxa" w:w="2880"/>
            <w:vAlign w:val="center"/>
          </w:tcPr>
          <w:p>
            <w:pPr>
              <w:spacing w:after="0" w:before="0"/>
            </w:pPr>
            <w:r/>
            <w:r>
              <w:rPr>
                <w:rFonts w:ascii="Aptos" w:hAnsi="Aptos"/>
                <w:b w:val="0"/>
                <w:color w:val="172D2A"/>
                <w:sz w:val="16"/>
              </w:rPr>
              <w:t>Metric audit across CSV and Power BI</w:t>
            </w:r>
          </w:p>
        </w:tc>
        <w:tc>
          <w:tcPr>
            <w:tcW w:type="dxa" w:w="3672"/>
            <w:vAlign w:val="center"/>
          </w:tcPr>
          <w:p>
            <w:pPr>
              <w:spacing w:after="0" w:before="0"/>
            </w:pPr>
            <w:r/>
            <w:r>
              <w:rPr>
                <w:rFonts w:ascii="Aptos" w:hAnsi="Aptos"/>
                <w:b w:val="0"/>
                <w:color w:val="172D2A"/>
                <w:sz w:val="16"/>
              </w:rPr>
              <w:t>Total funding, record count, disclosed records, city totals, stage totals agree under identical filters.</w:t>
            </w:r>
          </w:p>
        </w:tc>
      </w:tr>
      <w:tr>
        <w:trPr>
          <w:cantSplit/>
        </w:trPr>
        <w:tc>
          <w:tcPr>
            <w:tcW w:type="dxa" w:w="1152"/>
            <w:vAlign w:val="center"/>
            <w:shd w:fill="F0F3ED"/>
          </w:tcPr>
          <w:p>
            <w:pPr>
              <w:spacing w:after="0" w:before="0"/>
            </w:pPr>
            <w:r/>
            <w:r>
              <w:rPr>
                <w:rFonts w:ascii="Aptos" w:hAnsi="Aptos"/>
                <w:b w:val="0"/>
                <w:color w:val="172D2A"/>
                <w:sz w:val="16"/>
              </w:rPr>
              <w:t>Days 0–2</w:t>
            </w:r>
          </w:p>
        </w:tc>
        <w:tc>
          <w:tcPr>
            <w:tcW w:type="dxa" w:w="1944"/>
            <w:vAlign w:val="center"/>
            <w:shd w:fill="F0F3ED"/>
          </w:tcPr>
          <w:p>
            <w:pPr>
              <w:spacing w:after="0" w:before="0"/>
            </w:pPr>
            <w:r/>
            <w:r>
              <w:rPr>
                <w:rFonts w:ascii="Aptos" w:hAnsi="Aptos"/>
                <w:b w:val="0"/>
                <w:color w:val="172D2A"/>
                <w:sz w:val="16"/>
              </w:rPr>
              <w:t>Outlier review</w:t>
            </w:r>
          </w:p>
        </w:tc>
        <w:tc>
          <w:tcPr>
            <w:tcW w:type="dxa" w:w="2880"/>
            <w:vAlign w:val="center"/>
            <w:shd w:fill="F0F3ED"/>
          </w:tcPr>
          <w:p>
            <w:pPr>
              <w:spacing w:after="0" w:before="0"/>
            </w:pPr>
            <w:r/>
            <w:r>
              <w:rPr>
                <w:rFonts w:ascii="Aptos" w:hAnsi="Aptos"/>
                <w:b w:val="0"/>
                <w:color w:val="172D2A"/>
                <w:sz w:val="16"/>
              </w:rPr>
              <w:t>Source confirmation for $3.9B recorded round</w:t>
            </w:r>
          </w:p>
        </w:tc>
        <w:tc>
          <w:tcPr>
            <w:tcW w:type="dxa" w:w="3672"/>
            <w:vAlign w:val="center"/>
            <w:shd w:fill="F0F3ED"/>
          </w:tcPr>
          <w:p>
            <w:pPr>
              <w:spacing w:after="0" w:before="0"/>
            </w:pPr>
            <w:r/>
            <w:r>
              <w:rPr>
                <w:rFonts w:ascii="Aptos" w:hAnsi="Aptos"/>
                <w:b w:val="0"/>
                <w:color w:val="172D2A"/>
                <w:sz w:val="16"/>
              </w:rPr>
              <w:t>Amount/currency/date/classification confirmed or explicitly excluded with documented rationale.</w:t>
            </w:r>
          </w:p>
        </w:tc>
      </w:tr>
      <w:tr>
        <w:trPr>
          <w:cantSplit/>
        </w:trPr>
        <w:tc>
          <w:tcPr>
            <w:tcW w:type="dxa" w:w="1152"/>
            <w:vAlign w:val="center"/>
          </w:tcPr>
          <w:p>
            <w:pPr>
              <w:spacing w:after="0" w:before="0"/>
            </w:pPr>
            <w:r/>
            <w:r>
              <w:rPr>
                <w:rFonts w:ascii="Aptos" w:hAnsi="Aptos"/>
                <w:b w:val="0"/>
                <w:color w:val="172D2A"/>
                <w:sz w:val="16"/>
              </w:rPr>
              <w:t>Week 1</w:t>
            </w:r>
          </w:p>
        </w:tc>
        <w:tc>
          <w:tcPr>
            <w:tcW w:type="dxa" w:w="1944"/>
            <w:vAlign w:val="center"/>
          </w:tcPr>
          <w:p>
            <w:pPr>
              <w:spacing w:after="0" w:before="0"/>
            </w:pPr>
            <w:r/>
            <w:r>
              <w:rPr>
                <w:rFonts w:ascii="Aptos" w:hAnsi="Aptos"/>
                <w:b w:val="0"/>
                <w:color w:val="172D2A"/>
                <w:sz w:val="16"/>
              </w:rPr>
              <w:t>Industry + geography</w:t>
            </w:r>
          </w:p>
        </w:tc>
        <w:tc>
          <w:tcPr>
            <w:tcW w:type="dxa" w:w="2880"/>
            <w:vAlign w:val="center"/>
          </w:tcPr>
          <w:p>
            <w:pPr>
              <w:spacing w:after="0" w:before="0"/>
            </w:pPr>
            <w:r/>
            <w:r>
              <w:rPr>
                <w:rFonts w:ascii="Aptos" w:hAnsi="Aptos"/>
                <w:b w:val="0"/>
                <w:color w:val="172D2A"/>
                <w:sz w:val="16"/>
              </w:rPr>
              <w:t>Canonical mapping dictionary and audit columns</w:t>
            </w:r>
          </w:p>
        </w:tc>
        <w:tc>
          <w:tcPr>
            <w:tcW w:type="dxa" w:w="3672"/>
            <w:vAlign w:val="center"/>
          </w:tcPr>
          <w:p>
            <w:pPr>
              <w:spacing w:after="0" w:before="0"/>
            </w:pPr>
            <w:r/>
            <w:r>
              <w:rPr>
                <w:rFonts w:ascii="Aptos" w:hAnsi="Aptos"/>
                <w:b w:val="0"/>
                <w:color w:val="172D2A"/>
                <w:sz w:val="16"/>
              </w:rPr>
              <w:t>Every raw label maps to canonical label or an approved Unknown/Other status.</w:t>
            </w:r>
          </w:p>
        </w:tc>
      </w:tr>
      <w:tr>
        <w:trPr>
          <w:cantSplit/>
        </w:trPr>
        <w:tc>
          <w:tcPr>
            <w:tcW w:type="dxa" w:w="1152"/>
            <w:vAlign w:val="center"/>
            <w:shd w:fill="F0F3ED"/>
          </w:tcPr>
          <w:p>
            <w:pPr>
              <w:spacing w:after="0" w:before="0"/>
            </w:pPr>
            <w:r/>
            <w:r>
              <w:rPr>
                <w:rFonts w:ascii="Aptos" w:hAnsi="Aptos"/>
                <w:b w:val="0"/>
                <w:color w:val="172D2A"/>
                <w:sz w:val="16"/>
              </w:rPr>
              <w:t>Week 1–2</w:t>
            </w:r>
          </w:p>
        </w:tc>
        <w:tc>
          <w:tcPr>
            <w:tcW w:type="dxa" w:w="1944"/>
            <w:vAlign w:val="center"/>
            <w:shd w:fill="F0F3ED"/>
          </w:tcPr>
          <w:p>
            <w:pPr>
              <w:spacing w:after="0" w:before="0"/>
            </w:pPr>
            <w:r/>
            <w:r>
              <w:rPr>
                <w:rFonts w:ascii="Aptos" w:hAnsi="Aptos"/>
                <w:b w:val="0"/>
                <w:color w:val="172D2A"/>
                <w:sz w:val="16"/>
              </w:rPr>
              <w:t>Investor model</w:t>
            </w:r>
          </w:p>
        </w:tc>
        <w:tc>
          <w:tcPr>
            <w:tcW w:type="dxa" w:w="2880"/>
            <w:vAlign w:val="center"/>
            <w:shd w:fill="F0F3ED"/>
          </w:tcPr>
          <w:p>
            <w:pPr>
              <w:spacing w:after="0" w:before="0"/>
            </w:pPr>
            <w:r/>
            <w:r>
              <w:rPr>
                <w:rFonts w:ascii="Aptos" w:hAnsi="Aptos"/>
                <w:b w:val="0"/>
                <w:color w:val="172D2A"/>
                <w:sz w:val="16"/>
              </w:rPr>
              <w:t>Investor dimension + funding-round bridge</w:t>
            </w:r>
          </w:p>
        </w:tc>
        <w:tc>
          <w:tcPr>
            <w:tcW w:type="dxa" w:w="3672"/>
            <w:vAlign w:val="center"/>
            <w:shd w:fill="F0F3ED"/>
          </w:tcPr>
          <w:p>
            <w:pPr>
              <w:spacing w:after="0" w:before="0"/>
            </w:pPr>
            <w:r/>
            <w:r>
              <w:rPr>
                <w:rFonts w:ascii="Aptos" w:hAnsi="Aptos"/>
                <w:b w:val="0"/>
                <w:color w:val="172D2A"/>
                <w:sz w:val="16"/>
              </w:rPr>
              <w:t>Multi-name records represented without hidden double counting; ranking definition approved.</w:t>
            </w:r>
          </w:p>
        </w:tc>
      </w:tr>
      <w:tr>
        <w:trPr>
          <w:cantSplit/>
        </w:trPr>
        <w:tc>
          <w:tcPr>
            <w:tcW w:type="dxa" w:w="1152"/>
            <w:vAlign w:val="center"/>
          </w:tcPr>
          <w:p>
            <w:pPr>
              <w:spacing w:after="0" w:before="0"/>
            </w:pPr>
            <w:r/>
            <w:r>
              <w:rPr>
                <w:rFonts w:ascii="Aptos" w:hAnsi="Aptos"/>
                <w:b w:val="0"/>
                <w:color w:val="172D2A"/>
                <w:sz w:val="16"/>
              </w:rPr>
              <w:t>Week 2</w:t>
            </w:r>
          </w:p>
        </w:tc>
        <w:tc>
          <w:tcPr>
            <w:tcW w:type="dxa" w:w="1944"/>
            <w:vAlign w:val="center"/>
          </w:tcPr>
          <w:p>
            <w:pPr>
              <w:spacing w:after="0" w:before="0"/>
            </w:pPr>
            <w:r/>
            <w:r>
              <w:rPr>
                <w:rFonts w:ascii="Aptos" w:hAnsi="Aptos"/>
                <w:b w:val="0"/>
                <w:color w:val="172D2A"/>
                <w:sz w:val="16"/>
              </w:rPr>
              <w:t>Time series</w:t>
            </w:r>
          </w:p>
        </w:tc>
        <w:tc>
          <w:tcPr>
            <w:tcW w:type="dxa" w:w="2880"/>
            <w:vAlign w:val="center"/>
          </w:tcPr>
          <w:p>
            <w:pPr>
              <w:spacing w:after="0" w:before="0"/>
            </w:pPr>
            <w:r/>
            <w:r>
              <w:rPr>
                <w:rFonts w:ascii="Aptos" w:hAnsi="Aptos"/>
                <w:b w:val="0"/>
                <w:color w:val="172D2A"/>
                <w:sz w:val="16"/>
              </w:rPr>
              <w:t>Complete month calendar + safe growth measures</w:t>
            </w:r>
          </w:p>
        </w:tc>
        <w:tc>
          <w:tcPr>
            <w:tcW w:type="dxa" w:w="3672"/>
            <w:vAlign w:val="center"/>
          </w:tcPr>
          <w:p>
            <w:pPr>
              <w:spacing w:after="0" w:before="0"/>
            </w:pPr>
            <w:r/>
            <w:r>
              <w:rPr>
                <w:rFonts w:ascii="Aptos" w:hAnsi="Aptos"/>
                <w:b w:val="0"/>
                <w:color w:val="172D2A"/>
                <w:sz w:val="16"/>
              </w:rPr>
              <w:t>MoM uses adjacent months; 2020 reported as partial year or like-for-like period.</w:t>
            </w:r>
          </w:p>
        </w:tc>
      </w:tr>
      <w:tr>
        <w:trPr>
          <w:cantSplit/>
        </w:trPr>
        <w:tc>
          <w:tcPr>
            <w:tcW w:type="dxa" w:w="1152"/>
            <w:vAlign w:val="center"/>
            <w:shd w:fill="F0F3ED"/>
          </w:tcPr>
          <w:p>
            <w:pPr>
              <w:spacing w:after="0" w:before="0"/>
            </w:pPr>
            <w:r/>
            <w:r>
              <w:rPr>
                <w:rFonts w:ascii="Aptos" w:hAnsi="Aptos"/>
                <w:b w:val="0"/>
                <w:color w:val="172D2A"/>
                <w:sz w:val="16"/>
              </w:rPr>
              <w:t>Week 3–4</w:t>
            </w:r>
          </w:p>
        </w:tc>
        <w:tc>
          <w:tcPr>
            <w:tcW w:type="dxa" w:w="1944"/>
            <w:vAlign w:val="center"/>
            <w:shd w:fill="F0F3ED"/>
          </w:tcPr>
          <w:p>
            <w:pPr>
              <w:spacing w:after="0" w:before="0"/>
            </w:pPr>
            <w:r/>
            <w:r>
              <w:rPr>
                <w:rFonts w:ascii="Aptos" w:hAnsi="Aptos"/>
                <w:b w:val="0"/>
                <w:color w:val="172D2A"/>
                <w:sz w:val="16"/>
              </w:rPr>
              <w:t>BI QA and release</w:t>
            </w:r>
          </w:p>
        </w:tc>
        <w:tc>
          <w:tcPr>
            <w:tcW w:type="dxa" w:w="2880"/>
            <w:vAlign w:val="center"/>
            <w:shd w:fill="F0F3ED"/>
          </w:tcPr>
          <w:p>
            <w:pPr>
              <w:spacing w:after="0" w:before="0"/>
            </w:pPr>
            <w:r/>
            <w:r>
              <w:rPr>
                <w:rFonts w:ascii="Aptos" w:hAnsi="Aptos"/>
                <w:b w:val="0"/>
                <w:color w:val="172D2A"/>
                <w:sz w:val="16"/>
              </w:rPr>
              <w:t>Power BI validation checklist, updated screenshots, report notes</w:t>
            </w:r>
          </w:p>
        </w:tc>
        <w:tc>
          <w:tcPr>
            <w:tcW w:type="dxa" w:w="3672"/>
            <w:vAlign w:val="center"/>
            <w:shd w:fill="F0F3ED"/>
          </w:tcPr>
          <w:p>
            <w:pPr>
              <w:spacing w:after="0" w:before="0"/>
            </w:pPr>
            <w:r/>
            <w:r>
              <w:rPr>
                <w:rFonts w:ascii="Aptos" w:hAnsi="Aptos"/>
                <w:b w:val="0"/>
                <w:color w:val="172D2A"/>
                <w:sz w:val="16"/>
              </w:rPr>
              <w:t>Slicers, tooltip, sorts, top-N filters, caveats, and all KPI totals tested.</w:t>
            </w:r>
          </w:p>
        </w:tc>
      </w:tr>
    </w:tbl>
    <w:p>
      <w:pPr>
        <w:spacing w:after="0"/>
      </w:pPr>
    </w:p>
    <w:p>
      <w:pPr>
        <w:pStyle w:val="Heading2"/>
      </w:pPr>
      <w:r>
        <w:t>Monitoring scorecard</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376"/>
            <w:vAlign w:val="center"/>
            <w:shd w:fill="183F3A"/>
          </w:tcPr>
          <w:p>
            <w:pPr>
              <w:spacing w:after="0" w:before="0"/>
            </w:pPr>
            <w:r/>
            <w:r>
              <w:rPr>
                <w:rFonts w:ascii="Aptos" w:hAnsi="Aptos"/>
                <w:b/>
                <w:color w:val="FFFFFF"/>
                <w:sz w:val="16"/>
              </w:rPr>
              <w:t>Metric</w:t>
            </w:r>
          </w:p>
        </w:tc>
        <w:tc>
          <w:tcPr>
            <w:tcW w:type="dxa" w:w="2376"/>
            <w:vAlign w:val="center"/>
            <w:shd w:fill="183F3A"/>
          </w:tcPr>
          <w:p>
            <w:pPr>
              <w:spacing w:after="0" w:before="0"/>
            </w:pPr>
            <w:r/>
            <w:r>
              <w:rPr>
                <w:rFonts w:ascii="Aptos" w:hAnsi="Aptos"/>
                <w:b/>
                <w:color w:val="FFFFFF"/>
                <w:sz w:val="16"/>
              </w:rPr>
              <w:t>Current baseline</w:t>
            </w:r>
          </w:p>
        </w:tc>
        <w:tc>
          <w:tcPr>
            <w:tcW w:type="dxa" w:w="4896"/>
            <w:vAlign w:val="center"/>
            <w:shd w:fill="183F3A"/>
          </w:tcPr>
          <w:p>
            <w:pPr>
              <w:spacing w:after="0" w:before="0"/>
            </w:pPr>
            <w:r/>
            <w:r>
              <w:rPr>
                <w:rFonts w:ascii="Aptos" w:hAnsi="Aptos"/>
                <w:b/>
                <w:color w:val="FFFFFF"/>
                <w:sz w:val="16"/>
              </w:rPr>
              <w:t>Monitoring purpose</w:t>
            </w:r>
          </w:p>
        </w:tc>
      </w:tr>
      <w:tr>
        <w:trPr>
          <w:cantSplit/>
        </w:trPr>
        <w:tc>
          <w:tcPr>
            <w:tcW w:type="dxa" w:w="2376"/>
            <w:vAlign w:val="center"/>
          </w:tcPr>
          <w:p>
            <w:pPr>
              <w:spacing w:after="0" w:before="0"/>
            </w:pPr>
            <w:r/>
            <w:r>
              <w:rPr>
                <w:rFonts w:ascii="Aptos" w:hAnsi="Aptos"/>
                <w:b w:val="0"/>
                <w:color w:val="172D2A"/>
                <w:sz w:val="16"/>
              </w:rPr>
              <w:t>Total disclosed funding</w:t>
            </w:r>
          </w:p>
        </w:tc>
        <w:tc>
          <w:tcPr>
            <w:tcW w:type="dxa" w:w="2376"/>
            <w:vAlign w:val="center"/>
          </w:tcPr>
          <w:p>
            <w:pPr>
              <w:spacing w:after="0" w:before="0"/>
            </w:pPr>
            <w:r/>
            <w:r>
              <w:rPr>
                <w:rFonts w:ascii="Aptos" w:hAnsi="Aptos"/>
                <w:b w:val="0"/>
                <w:color w:val="172D2A"/>
                <w:sz w:val="16"/>
              </w:rPr>
              <w:t>$38.144B</w:t>
            </w:r>
          </w:p>
        </w:tc>
        <w:tc>
          <w:tcPr>
            <w:tcW w:type="dxa" w:w="4896"/>
            <w:vAlign w:val="center"/>
          </w:tcPr>
          <w:p>
            <w:pPr>
              <w:spacing w:after="0" w:before="0"/>
            </w:pPr>
            <w:r/>
            <w:r>
              <w:rPr>
                <w:rFonts w:ascii="Aptos" w:hAnsi="Aptos"/>
                <w:b w:val="0"/>
                <w:color w:val="172D2A"/>
                <w:sz w:val="16"/>
              </w:rPr>
              <w:t>Detect refresh or filter-context drift.</w:t>
            </w:r>
          </w:p>
        </w:tc>
      </w:tr>
      <w:tr>
        <w:trPr>
          <w:cantSplit/>
        </w:trPr>
        <w:tc>
          <w:tcPr>
            <w:tcW w:type="dxa" w:w="2376"/>
            <w:vAlign w:val="center"/>
            <w:shd w:fill="F0F3ED"/>
          </w:tcPr>
          <w:p>
            <w:pPr>
              <w:spacing w:after="0" w:before="0"/>
            </w:pPr>
            <w:r/>
            <w:r>
              <w:rPr>
                <w:rFonts w:ascii="Aptos" w:hAnsi="Aptos"/>
                <w:b w:val="0"/>
                <w:color w:val="172D2A"/>
                <w:sz w:val="16"/>
              </w:rPr>
              <w:t>Record count</w:t>
            </w:r>
          </w:p>
        </w:tc>
        <w:tc>
          <w:tcPr>
            <w:tcW w:type="dxa" w:w="2376"/>
            <w:vAlign w:val="center"/>
            <w:shd w:fill="F0F3ED"/>
          </w:tcPr>
          <w:p>
            <w:pPr>
              <w:spacing w:after="0" w:before="0"/>
            </w:pPr>
            <w:r/>
            <w:r>
              <w:rPr>
                <w:rFonts w:ascii="Aptos" w:hAnsi="Aptos"/>
                <w:b w:val="0"/>
                <w:color w:val="172D2A"/>
                <w:sz w:val="16"/>
              </w:rPr>
              <w:t>3,044</w:t>
            </w:r>
          </w:p>
        </w:tc>
        <w:tc>
          <w:tcPr>
            <w:tcW w:type="dxa" w:w="4896"/>
            <w:vAlign w:val="center"/>
            <w:shd w:fill="F0F3ED"/>
          </w:tcPr>
          <w:p>
            <w:pPr>
              <w:spacing w:after="0" w:before="0"/>
            </w:pPr>
            <w:r/>
            <w:r>
              <w:rPr>
                <w:rFonts w:ascii="Aptos" w:hAnsi="Aptos"/>
                <w:b w:val="0"/>
                <w:color w:val="172D2A"/>
                <w:sz w:val="16"/>
              </w:rPr>
              <w:t>Detect unexpected row loss or expansion.</w:t>
            </w:r>
          </w:p>
        </w:tc>
      </w:tr>
      <w:tr>
        <w:trPr>
          <w:cantSplit/>
        </w:trPr>
        <w:tc>
          <w:tcPr>
            <w:tcW w:type="dxa" w:w="2376"/>
            <w:vAlign w:val="center"/>
          </w:tcPr>
          <w:p>
            <w:pPr>
              <w:spacing w:after="0" w:before="0"/>
            </w:pPr>
            <w:r/>
            <w:r>
              <w:rPr>
                <w:rFonts w:ascii="Aptos" w:hAnsi="Aptos"/>
                <w:b w:val="0"/>
                <w:color w:val="172D2A"/>
                <w:sz w:val="16"/>
              </w:rPr>
              <w:t>Disclosed amount records</w:t>
            </w:r>
          </w:p>
        </w:tc>
        <w:tc>
          <w:tcPr>
            <w:tcW w:type="dxa" w:w="2376"/>
            <w:vAlign w:val="center"/>
          </w:tcPr>
          <w:p>
            <w:pPr>
              <w:spacing w:after="0" w:before="0"/>
            </w:pPr>
            <w:r/>
            <w:r>
              <w:rPr>
                <w:rFonts w:ascii="Aptos" w:hAnsi="Aptos"/>
                <w:b w:val="0"/>
                <w:color w:val="172D2A"/>
                <w:sz w:val="16"/>
              </w:rPr>
              <w:t>2,073 (68.1%)</w:t>
            </w:r>
          </w:p>
        </w:tc>
        <w:tc>
          <w:tcPr>
            <w:tcW w:type="dxa" w:w="4896"/>
            <w:vAlign w:val="center"/>
          </w:tcPr>
          <w:p>
            <w:pPr>
              <w:spacing w:after="0" w:before="0"/>
            </w:pPr>
            <w:r/>
            <w:r>
              <w:rPr>
                <w:rFonts w:ascii="Aptos" w:hAnsi="Aptos"/>
                <w:b w:val="0"/>
                <w:color w:val="172D2A"/>
                <w:sz w:val="16"/>
              </w:rPr>
              <w:t>Track amount availability without treating missing as zero.</w:t>
            </w:r>
          </w:p>
        </w:tc>
      </w:tr>
      <w:tr>
        <w:trPr>
          <w:cantSplit/>
        </w:trPr>
        <w:tc>
          <w:tcPr>
            <w:tcW w:type="dxa" w:w="2376"/>
            <w:vAlign w:val="center"/>
            <w:shd w:fill="F0F3ED"/>
          </w:tcPr>
          <w:p>
            <w:pPr>
              <w:spacing w:after="0" w:before="0"/>
            </w:pPr>
            <w:r/>
            <w:r>
              <w:rPr>
                <w:rFonts w:ascii="Aptos" w:hAnsi="Aptos"/>
                <w:b w:val="0"/>
                <w:color w:val="172D2A"/>
                <w:sz w:val="16"/>
              </w:rPr>
              <w:t>Missing amount records</w:t>
            </w:r>
          </w:p>
        </w:tc>
        <w:tc>
          <w:tcPr>
            <w:tcW w:type="dxa" w:w="2376"/>
            <w:vAlign w:val="center"/>
            <w:shd w:fill="F0F3ED"/>
          </w:tcPr>
          <w:p>
            <w:pPr>
              <w:spacing w:after="0" w:before="0"/>
            </w:pPr>
            <w:r/>
            <w:r>
              <w:rPr>
                <w:rFonts w:ascii="Aptos" w:hAnsi="Aptos"/>
                <w:b w:val="0"/>
                <w:color w:val="172D2A"/>
                <w:sz w:val="16"/>
              </w:rPr>
              <w:t>971 (31.9%)</w:t>
            </w:r>
          </w:p>
        </w:tc>
        <w:tc>
          <w:tcPr>
            <w:tcW w:type="dxa" w:w="4896"/>
            <w:vAlign w:val="center"/>
            <w:shd w:fill="F0F3ED"/>
          </w:tcPr>
          <w:p>
            <w:pPr>
              <w:spacing w:after="0" w:before="0"/>
            </w:pPr>
            <w:r/>
            <w:r>
              <w:rPr>
                <w:rFonts w:ascii="Aptos" w:hAnsi="Aptos"/>
                <w:b w:val="0"/>
                <w:color w:val="172D2A"/>
                <w:sz w:val="16"/>
              </w:rPr>
              <w:t>Track data completeness.</w:t>
            </w:r>
          </w:p>
        </w:tc>
      </w:tr>
      <w:tr>
        <w:trPr>
          <w:cantSplit/>
        </w:trPr>
        <w:tc>
          <w:tcPr>
            <w:tcW w:type="dxa" w:w="2376"/>
            <w:vAlign w:val="center"/>
          </w:tcPr>
          <w:p>
            <w:pPr>
              <w:spacing w:after="0" w:before="0"/>
            </w:pPr>
            <w:r/>
            <w:r>
              <w:rPr>
                <w:rFonts w:ascii="Aptos" w:hAnsi="Aptos"/>
                <w:b w:val="0"/>
                <w:color w:val="172D2A"/>
                <w:sz w:val="16"/>
              </w:rPr>
              <w:t>Exact duplicate rows</w:t>
            </w:r>
          </w:p>
        </w:tc>
        <w:tc>
          <w:tcPr>
            <w:tcW w:type="dxa" w:w="2376"/>
            <w:vAlign w:val="center"/>
          </w:tcPr>
          <w:p>
            <w:pPr>
              <w:spacing w:after="0" w:before="0"/>
            </w:pPr>
            <w:r/>
            <w:r>
              <w:rPr>
                <w:rFonts w:ascii="Aptos" w:hAnsi="Aptos"/>
                <w:b w:val="0"/>
                <w:color w:val="172D2A"/>
                <w:sz w:val="16"/>
              </w:rPr>
              <w:t>0</w:t>
            </w:r>
          </w:p>
        </w:tc>
        <w:tc>
          <w:tcPr>
            <w:tcW w:type="dxa" w:w="4896"/>
            <w:vAlign w:val="center"/>
          </w:tcPr>
          <w:p>
            <w:pPr>
              <w:spacing w:after="0" w:before="0"/>
            </w:pPr>
            <w:r/>
            <w:r>
              <w:rPr>
                <w:rFonts w:ascii="Aptos" w:hAnsi="Aptos"/>
                <w:b w:val="0"/>
                <w:color w:val="172D2A"/>
                <w:sz w:val="16"/>
              </w:rPr>
              <w:t>Catch repeated records.</w:t>
            </w:r>
          </w:p>
        </w:tc>
      </w:tr>
      <w:tr>
        <w:trPr>
          <w:cantSplit/>
        </w:trPr>
        <w:tc>
          <w:tcPr>
            <w:tcW w:type="dxa" w:w="2376"/>
            <w:vAlign w:val="center"/>
            <w:shd w:fill="F0F3ED"/>
          </w:tcPr>
          <w:p>
            <w:pPr>
              <w:spacing w:after="0" w:before="0"/>
            </w:pPr>
            <w:r/>
            <w:r>
              <w:rPr>
                <w:rFonts w:ascii="Aptos" w:hAnsi="Aptos"/>
                <w:b w:val="0"/>
                <w:color w:val="172D2A"/>
                <w:sz w:val="16"/>
              </w:rPr>
              <w:t>Amount outlier control</w:t>
            </w:r>
          </w:p>
        </w:tc>
        <w:tc>
          <w:tcPr>
            <w:tcW w:type="dxa" w:w="2376"/>
            <w:vAlign w:val="center"/>
            <w:shd w:fill="F0F3ED"/>
          </w:tcPr>
          <w:p>
            <w:pPr>
              <w:spacing w:after="0" w:before="0"/>
            </w:pPr>
            <w:r/>
            <w:r>
              <w:rPr>
                <w:rFonts w:ascii="Aptos" w:hAnsi="Aptos"/>
                <w:b w:val="0"/>
                <w:color w:val="172D2A"/>
                <w:sz w:val="16"/>
              </w:rPr>
              <w:t>Max = $3.90B</w:t>
            </w:r>
          </w:p>
        </w:tc>
        <w:tc>
          <w:tcPr>
            <w:tcW w:type="dxa" w:w="4896"/>
            <w:vAlign w:val="center"/>
            <w:shd w:fill="F0F3ED"/>
          </w:tcPr>
          <w:p>
            <w:pPr>
              <w:spacing w:after="0" w:before="0"/>
            </w:pPr>
            <w:r/>
            <w:r>
              <w:rPr>
                <w:rFonts w:ascii="Aptos" w:hAnsi="Aptos"/>
                <w:b w:val="0"/>
                <w:color w:val="172D2A"/>
                <w:sz w:val="16"/>
              </w:rPr>
              <w:t>Review extremes and source units.</w:t>
            </w:r>
          </w:p>
        </w:tc>
      </w:tr>
      <w:tr>
        <w:trPr>
          <w:cantSplit/>
        </w:trPr>
        <w:tc>
          <w:tcPr>
            <w:tcW w:type="dxa" w:w="2376"/>
            <w:vAlign w:val="center"/>
          </w:tcPr>
          <w:p>
            <w:pPr>
              <w:spacing w:after="0" w:before="0"/>
            </w:pPr>
            <w:r/>
            <w:r>
              <w:rPr>
                <w:rFonts w:ascii="Aptos" w:hAnsi="Aptos"/>
                <w:b w:val="0"/>
                <w:color w:val="172D2A"/>
                <w:sz w:val="16"/>
              </w:rPr>
              <w:t>Month coverage</w:t>
            </w:r>
          </w:p>
        </w:tc>
        <w:tc>
          <w:tcPr>
            <w:tcW w:type="dxa" w:w="2376"/>
            <w:vAlign w:val="center"/>
          </w:tcPr>
          <w:p>
            <w:pPr>
              <w:spacing w:after="0" w:before="0"/>
            </w:pPr>
            <w:r/>
            <w:r>
              <w:rPr>
                <w:rFonts w:ascii="Aptos" w:hAnsi="Aptos"/>
                <w:b w:val="0"/>
                <w:color w:val="172D2A"/>
                <w:sz w:val="16"/>
              </w:rPr>
              <w:t>Missing row: 2019-03</w:t>
            </w:r>
          </w:p>
        </w:tc>
        <w:tc>
          <w:tcPr>
            <w:tcW w:type="dxa" w:w="4896"/>
            <w:vAlign w:val="center"/>
          </w:tcPr>
          <w:p>
            <w:pPr>
              <w:spacing w:after="0" w:before="0"/>
            </w:pPr>
            <w:r/>
            <w:r>
              <w:rPr>
                <w:rFonts w:ascii="Aptos" w:hAnsi="Aptos"/>
                <w:b w:val="0"/>
                <w:color w:val="172D2A"/>
                <w:sz w:val="16"/>
              </w:rPr>
              <w:t>Prevent unsafe MoM comparisons.</w:t>
            </w:r>
          </w:p>
        </w:tc>
      </w:tr>
    </w:tbl>
    <w:p>
      <w:pPr>
        <w:spacing w:after="0"/>
      </w:pPr>
    </w:p>
    <w:p>
      <w:r>
        <w:br w:type="page"/>
      </w:r>
    </w:p>
    <w:p>
      <w:pPr>
        <w:spacing w:after="40"/>
      </w:pPr>
      <w:r>
        <w:rPr>
          <w:rFonts w:ascii="Aptos" w:hAnsi="Aptos"/>
          <w:b/>
          <w:color w:val="D86A4A"/>
          <w:sz w:val="16"/>
        </w:rPr>
        <w:t>12 | QUALITY ASSURANCE</w:t>
      </w:r>
    </w:p>
    <w:p>
      <w:pPr>
        <w:spacing w:after="80"/>
      </w:pPr>
      <w:r>
        <w:rPr>
          <w:rFonts w:ascii="Aptos Display" w:hAnsi="Aptos Display"/>
          <w:b/>
          <w:color w:val="183F3A"/>
          <w:sz w:val="44"/>
        </w:rPr>
        <w:t>Evidence register, limitations, and conclusion</w:t>
      </w:r>
    </w:p>
    <w:p>
      <w:pPr>
        <w:spacing w:after="100" w:line="259" w:lineRule="auto"/>
      </w:pPr>
      <w:r>
        <w:rPr>
          <w:rFonts w:ascii="Aptos" w:hAnsi="Aptos"/>
          <w:i w:val="0"/>
          <w:color w:val="66736D"/>
          <w:sz w:val="20"/>
        </w:rPr>
        <w:t>This report distinguishes recalculated facts from screenshot observations, notebook outputs, and queries that could not be executed.</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664"/>
            <w:vAlign w:val="center"/>
            <w:shd w:fill="183F3A"/>
          </w:tcPr>
          <w:p>
            <w:pPr>
              <w:spacing w:after="0" w:before="0"/>
            </w:pPr>
            <w:r/>
            <w:r>
              <w:rPr>
                <w:rFonts w:ascii="Aptos" w:hAnsi="Aptos"/>
                <w:b/>
                <w:color w:val="FFFFFF"/>
                <w:sz w:val="14"/>
              </w:rPr>
              <w:t>Finding / check</w:t>
            </w:r>
          </w:p>
        </w:tc>
        <w:tc>
          <w:tcPr>
            <w:tcW w:type="dxa" w:w="2376"/>
            <w:vAlign w:val="center"/>
            <w:shd w:fill="183F3A"/>
          </w:tcPr>
          <w:p>
            <w:pPr>
              <w:spacing w:after="0" w:before="0"/>
            </w:pPr>
            <w:r/>
            <w:r>
              <w:rPr>
                <w:rFonts w:ascii="Aptos" w:hAnsi="Aptos"/>
                <w:b/>
                <w:color w:val="FFFFFF"/>
                <w:sz w:val="14"/>
              </w:rPr>
              <w:t>Source</w:t>
            </w:r>
          </w:p>
        </w:tc>
        <w:tc>
          <w:tcPr>
            <w:tcW w:type="dxa" w:w="2160"/>
            <w:vAlign w:val="center"/>
            <w:shd w:fill="183F3A"/>
          </w:tcPr>
          <w:p>
            <w:pPr>
              <w:spacing w:after="0" w:before="0"/>
            </w:pPr>
            <w:r/>
            <w:r>
              <w:rPr>
                <w:rFonts w:ascii="Aptos" w:hAnsi="Aptos"/>
                <w:b/>
                <w:color w:val="FFFFFF"/>
                <w:sz w:val="14"/>
              </w:rPr>
              <w:t>Verification status</w:t>
            </w:r>
          </w:p>
        </w:tc>
        <w:tc>
          <w:tcPr>
            <w:tcW w:type="dxa" w:w="2448"/>
            <w:vAlign w:val="center"/>
            <w:shd w:fill="183F3A"/>
          </w:tcPr>
          <w:p>
            <w:pPr>
              <w:spacing w:after="0" w:before="0"/>
            </w:pPr>
            <w:r/>
            <w:r>
              <w:rPr>
                <w:rFonts w:ascii="Aptos" w:hAnsi="Aptos"/>
                <w:b/>
                <w:color w:val="FFFFFF"/>
                <w:sz w:val="14"/>
              </w:rPr>
              <w:t>Implication</w:t>
            </w:r>
          </w:p>
        </w:tc>
      </w:tr>
      <w:tr>
        <w:trPr>
          <w:cantSplit/>
        </w:trPr>
        <w:tc>
          <w:tcPr>
            <w:tcW w:type="dxa" w:w="2664"/>
            <w:vAlign w:val="center"/>
          </w:tcPr>
          <w:p>
            <w:pPr>
              <w:spacing w:after="0" w:before="0"/>
            </w:pPr>
            <w:r/>
            <w:r>
              <w:rPr>
                <w:rFonts w:ascii="Aptos" w:hAnsi="Aptos"/>
                <w:b w:val="0"/>
                <w:color w:val="172D2A"/>
                <w:sz w:val="14"/>
              </w:rPr>
              <w:t>Core totals: 3,044 rows; 2,073 amount values; $38.1439B sum</w:t>
            </w:r>
          </w:p>
        </w:tc>
        <w:tc>
          <w:tcPr>
            <w:tcW w:type="dxa" w:w="2376"/>
            <w:vAlign w:val="center"/>
          </w:tcPr>
          <w:p>
            <w:pPr>
              <w:spacing w:after="0" w:before="0"/>
            </w:pPr>
            <w:r/>
            <w:r>
              <w:rPr>
                <w:rFonts w:ascii="Aptos" w:hAnsi="Aptos"/>
                <w:b w:val="0"/>
                <w:color w:val="172D2A"/>
                <w:sz w:val="14"/>
              </w:rPr>
              <w:t>cleaned_startup_funding(1).csv; direct pandas calculations</w:t>
            </w:r>
          </w:p>
        </w:tc>
        <w:tc>
          <w:tcPr>
            <w:tcW w:type="dxa" w:w="2160"/>
            <w:vAlign w:val="center"/>
          </w:tcPr>
          <w:p>
            <w:pPr>
              <w:spacing w:after="0" w:before="0"/>
            </w:pPr>
            <w:r/>
            <w:r>
              <w:rPr>
                <w:rFonts w:ascii="Aptos" w:hAnsi="Aptos"/>
                <w:b w:val="0"/>
                <w:color w:val="172D2A"/>
                <w:sz w:val="14"/>
              </w:rPr>
              <w:t>PASS — recalculated</w:t>
            </w:r>
          </w:p>
        </w:tc>
        <w:tc>
          <w:tcPr>
            <w:tcW w:type="dxa" w:w="2448"/>
            <w:vAlign w:val="center"/>
          </w:tcPr>
          <w:p>
            <w:pPr>
              <w:spacing w:after="0" w:before="0"/>
            </w:pPr>
            <w:r/>
            <w:r>
              <w:rPr>
                <w:rFonts w:ascii="Aptos" w:hAnsi="Aptos"/>
                <w:b w:val="0"/>
                <w:color w:val="172D2A"/>
                <w:sz w:val="14"/>
              </w:rPr>
              <w:t>Use as disclosed funding baseline.</w:t>
            </w:r>
          </w:p>
        </w:tc>
      </w:tr>
      <w:tr>
        <w:trPr>
          <w:cantSplit/>
        </w:trPr>
        <w:tc>
          <w:tcPr>
            <w:tcW w:type="dxa" w:w="2664"/>
            <w:vAlign w:val="center"/>
            <w:shd w:fill="F0F3ED"/>
          </w:tcPr>
          <w:p>
            <w:pPr>
              <w:spacing w:after="0" w:before="0"/>
            </w:pPr>
            <w:r/>
            <w:r>
              <w:rPr>
                <w:rFonts w:ascii="Aptos" w:hAnsi="Aptos"/>
                <w:b w:val="0"/>
                <w:color w:val="172D2A"/>
                <w:sz w:val="14"/>
              </w:rPr>
              <w:t>Mean $18.40M / median $1.75M</w:t>
            </w:r>
          </w:p>
        </w:tc>
        <w:tc>
          <w:tcPr>
            <w:tcW w:type="dxa" w:w="2376"/>
            <w:vAlign w:val="center"/>
            <w:shd w:fill="F0F3ED"/>
          </w:tcPr>
          <w:p>
            <w:pPr>
              <w:spacing w:after="0" w:before="0"/>
            </w:pPr>
            <w:r/>
            <w:r>
              <w:rPr>
                <w:rFonts w:ascii="Aptos" w:hAnsi="Aptos"/>
                <w:b w:val="0"/>
                <w:color w:val="172D2A"/>
                <w:sz w:val="14"/>
              </w:rPr>
              <w:t>cleaned_startup_funding(1).csv; direct pandas calculations</w:t>
            </w:r>
          </w:p>
        </w:tc>
        <w:tc>
          <w:tcPr>
            <w:tcW w:type="dxa" w:w="2160"/>
            <w:vAlign w:val="center"/>
            <w:shd w:fill="F0F3ED"/>
          </w:tcPr>
          <w:p>
            <w:pPr>
              <w:spacing w:after="0" w:before="0"/>
            </w:pPr>
            <w:r/>
            <w:r>
              <w:rPr>
                <w:rFonts w:ascii="Aptos" w:hAnsi="Aptos"/>
                <w:b w:val="0"/>
                <w:color w:val="172D2A"/>
                <w:sz w:val="14"/>
              </w:rPr>
              <w:t>PASS — recalculated</w:t>
            </w:r>
          </w:p>
        </w:tc>
        <w:tc>
          <w:tcPr>
            <w:tcW w:type="dxa" w:w="2448"/>
            <w:vAlign w:val="center"/>
            <w:shd w:fill="F0F3ED"/>
          </w:tcPr>
          <w:p>
            <w:pPr>
              <w:spacing w:after="0" w:before="0"/>
            </w:pPr>
            <w:r/>
            <w:r>
              <w:rPr>
                <w:rFonts w:ascii="Aptos" w:hAnsi="Aptos"/>
                <w:b w:val="0"/>
                <w:color w:val="172D2A"/>
                <w:sz w:val="14"/>
              </w:rPr>
              <w:t>Use median with mean because of skew/outliers.</w:t>
            </w:r>
          </w:p>
        </w:tc>
      </w:tr>
      <w:tr>
        <w:trPr>
          <w:cantSplit/>
        </w:trPr>
        <w:tc>
          <w:tcPr>
            <w:tcW w:type="dxa" w:w="2664"/>
            <w:vAlign w:val="center"/>
          </w:tcPr>
          <w:p>
            <w:pPr>
              <w:spacing w:after="0" w:before="0"/>
            </w:pPr>
            <w:r/>
            <w:r>
              <w:rPr>
                <w:rFonts w:ascii="Aptos" w:hAnsi="Aptos"/>
                <w:b w:val="0"/>
                <w:color w:val="172D2A"/>
                <w:sz w:val="14"/>
              </w:rPr>
              <w:t>2015–2020 date range; 2020 has 7 January rows</w:t>
            </w:r>
          </w:p>
        </w:tc>
        <w:tc>
          <w:tcPr>
            <w:tcW w:type="dxa" w:w="2376"/>
            <w:vAlign w:val="center"/>
          </w:tcPr>
          <w:p>
            <w:pPr>
              <w:spacing w:after="0" w:before="0"/>
            </w:pPr>
            <w:r/>
            <w:r>
              <w:rPr>
                <w:rFonts w:ascii="Aptos" w:hAnsi="Aptos"/>
                <w:b w:val="0"/>
                <w:color w:val="172D2A"/>
                <w:sz w:val="14"/>
              </w:rPr>
              <w:t>cleaned CSV; Date and Year fields</w:t>
            </w:r>
          </w:p>
        </w:tc>
        <w:tc>
          <w:tcPr>
            <w:tcW w:type="dxa" w:w="2160"/>
            <w:vAlign w:val="center"/>
          </w:tcPr>
          <w:p>
            <w:pPr>
              <w:spacing w:after="0" w:before="0"/>
            </w:pPr>
            <w:r/>
            <w:r>
              <w:rPr>
                <w:rFonts w:ascii="Aptos" w:hAnsi="Aptos"/>
                <w:b w:val="0"/>
                <w:color w:val="172D2A"/>
                <w:sz w:val="14"/>
              </w:rPr>
              <w:t>PASS — recalculated</w:t>
            </w:r>
          </w:p>
        </w:tc>
        <w:tc>
          <w:tcPr>
            <w:tcW w:type="dxa" w:w="2448"/>
            <w:vAlign w:val="center"/>
          </w:tcPr>
          <w:p>
            <w:pPr>
              <w:spacing w:after="0" w:before="0"/>
            </w:pPr>
            <w:r/>
            <w:r>
              <w:rPr>
                <w:rFonts w:ascii="Aptos" w:hAnsi="Aptos"/>
                <w:b w:val="0"/>
                <w:color w:val="172D2A"/>
                <w:sz w:val="14"/>
              </w:rPr>
              <w:t>Do not interpret 2020 as a full-year total.</w:t>
            </w:r>
          </w:p>
        </w:tc>
      </w:tr>
      <w:tr>
        <w:trPr>
          <w:cantSplit/>
        </w:trPr>
        <w:tc>
          <w:tcPr>
            <w:tcW w:type="dxa" w:w="2664"/>
            <w:vAlign w:val="center"/>
            <w:shd w:fill="F0F3ED"/>
          </w:tcPr>
          <w:p>
            <w:pPr>
              <w:spacing w:after="0" w:before="0"/>
            </w:pPr>
            <w:r/>
            <w:r>
              <w:rPr>
                <w:rFonts w:ascii="Aptos" w:hAnsi="Aptos"/>
                <w:b w:val="0"/>
                <w:color w:val="172D2A"/>
                <w:sz w:val="14"/>
              </w:rPr>
              <w:t>Notebook claims 8 malformed dates fixed, 0 unparseable</w:t>
            </w:r>
          </w:p>
        </w:tc>
        <w:tc>
          <w:tcPr>
            <w:tcW w:type="dxa" w:w="2376"/>
            <w:vAlign w:val="center"/>
            <w:shd w:fill="F0F3ED"/>
          </w:tcPr>
          <w:p>
            <w:pPr>
              <w:spacing w:after="0" w:before="0"/>
            </w:pPr>
            <w:r/>
            <w:r>
              <w:rPr>
                <w:rFonts w:ascii="Aptos" w:hAnsi="Aptos"/>
                <w:b w:val="0"/>
                <w:color w:val="172D2A"/>
                <w:sz w:val="14"/>
              </w:rPr>
              <w:t>startup_funding_cleaning(1).ipynb stored outputs and methodology</w:t>
            </w:r>
          </w:p>
        </w:tc>
        <w:tc>
          <w:tcPr>
            <w:tcW w:type="dxa" w:w="2160"/>
            <w:vAlign w:val="center"/>
            <w:shd w:fill="F0F3ED"/>
          </w:tcPr>
          <w:p>
            <w:pPr>
              <w:spacing w:after="0" w:before="0"/>
            </w:pPr>
            <w:r/>
            <w:r>
              <w:rPr>
                <w:rFonts w:ascii="Aptos" w:hAnsi="Aptos"/>
                <w:b w:val="0"/>
                <w:color w:val="172D2A"/>
                <w:sz w:val="14"/>
              </w:rPr>
              <w:t>REVIEWED, not re-executed</w:t>
            </w:r>
          </w:p>
        </w:tc>
        <w:tc>
          <w:tcPr>
            <w:tcW w:type="dxa" w:w="2448"/>
            <w:vAlign w:val="center"/>
            <w:shd w:fill="F0F3ED"/>
          </w:tcPr>
          <w:p>
            <w:pPr>
              <w:spacing w:after="0" w:before="0"/>
            </w:pPr>
            <w:r/>
            <w:r>
              <w:rPr>
                <w:rFonts w:ascii="Aptos" w:hAnsi="Aptos"/>
                <w:b w:val="0"/>
                <w:color w:val="172D2A"/>
                <w:sz w:val="14"/>
              </w:rPr>
              <w:t>Raw CSV was not supplied; full cleaning run cannot be reproduced here.</w:t>
            </w:r>
          </w:p>
        </w:tc>
      </w:tr>
      <w:tr>
        <w:trPr>
          <w:cantSplit/>
        </w:trPr>
        <w:tc>
          <w:tcPr>
            <w:tcW w:type="dxa" w:w="2664"/>
            <w:vAlign w:val="center"/>
          </w:tcPr>
          <w:p>
            <w:pPr>
              <w:spacing w:after="0" w:before="0"/>
            </w:pPr>
            <w:r/>
            <w:r>
              <w:rPr>
                <w:rFonts w:ascii="Aptos" w:hAnsi="Aptos"/>
                <w:b w:val="0"/>
                <w:color w:val="172D2A"/>
                <w:sz w:val="14"/>
              </w:rPr>
              <w:t>SQL queries and outputs</w:t>
            </w:r>
          </w:p>
        </w:tc>
        <w:tc>
          <w:tcPr>
            <w:tcW w:type="dxa" w:w="2376"/>
            <w:vAlign w:val="center"/>
          </w:tcPr>
          <w:p>
            <w:pPr>
              <w:spacing w:after="0" w:before="0"/>
            </w:pPr>
            <w:r/>
            <w:r>
              <w:rPr>
                <w:rFonts w:ascii="Aptos" w:hAnsi="Aptos"/>
                <w:b w:val="0"/>
                <w:color w:val="172D2A"/>
                <w:sz w:val="14"/>
              </w:rPr>
              <w:t>sql_queries(2).pdf</w:t>
            </w:r>
          </w:p>
        </w:tc>
        <w:tc>
          <w:tcPr>
            <w:tcW w:type="dxa" w:w="2160"/>
            <w:vAlign w:val="center"/>
          </w:tcPr>
          <w:p>
            <w:pPr>
              <w:spacing w:after="0" w:before="0"/>
            </w:pPr>
            <w:r/>
            <w:r>
              <w:rPr>
                <w:rFonts w:ascii="Aptos" w:hAnsi="Aptos"/>
                <w:b w:val="0"/>
                <w:color w:val="172D2A"/>
                <w:sz w:val="14"/>
              </w:rPr>
              <w:t>REVIEWED; MySQL execution NOT TESTED</w:t>
            </w:r>
          </w:p>
        </w:tc>
        <w:tc>
          <w:tcPr>
            <w:tcW w:type="dxa" w:w="2448"/>
            <w:vAlign w:val="center"/>
          </w:tcPr>
          <w:p>
            <w:pPr>
              <w:spacing w:after="0" w:before="0"/>
            </w:pPr>
            <w:r/>
            <w:r>
              <w:rPr>
                <w:rFonts w:ascii="Aptos" w:hAnsi="Aptos"/>
                <w:b w:val="0"/>
                <w:color w:val="172D2A"/>
                <w:sz w:val="14"/>
              </w:rPr>
              <w:t>Query behavior may differ in a live database; month-gap and investor-string issues identified.</w:t>
            </w:r>
          </w:p>
        </w:tc>
      </w:tr>
      <w:tr>
        <w:trPr>
          <w:cantSplit/>
        </w:trPr>
        <w:tc>
          <w:tcPr>
            <w:tcW w:type="dxa" w:w="2664"/>
            <w:vAlign w:val="center"/>
            <w:shd w:fill="F0F3ED"/>
          </w:tcPr>
          <w:p>
            <w:pPr>
              <w:spacing w:after="0" w:before="0"/>
            </w:pPr>
            <w:r/>
            <w:r>
              <w:rPr>
                <w:rFonts w:ascii="Aptos" w:hAnsi="Aptos"/>
                <w:b w:val="0"/>
                <w:color w:val="172D2A"/>
                <w:sz w:val="14"/>
              </w:rPr>
              <w:t>Power BI visuals and DAX</w:t>
            </w:r>
          </w:p>
        </w:tc>
        <w:tc>
          <w:tcPr>
            <w:tcW w:type="dxa" w:w="2376"/>
            <w:vAlign w:val="center"/>
            <w:shd w:fill="F0F3ED"/>
          </w:tcPr>
          <w:p>
            <w:pPr>
              <w:spacing w:after="0" w:before="0"/>
            </w:pPr>
            <w:r/>
            <w:r>
              <w:rPr>
                <w:rFonts w:ascii="Aptos" w:hAnsi="Aptos"/>
                <w:b w:val="0"/>
                <w:color w:val="172D2A"/>
                <w:sz w:val="14"/>
              </w:rPr>
              <w:t>Three user-supplied screenshots</w:t>
            </w:r>
          </w:p>
        </w:tc>
        <w:tc>
          <w:tcPr>
            <w:tcW w:type="dxa" w:w="2160"/>
            <w:vAlign w:val="center"/>
            <w:shd w:fill="F0F3ED"/>
          </w:tcPr>
          <w:p>
            <w:pPr>
              <w:spacing w:after="0" w:before="0"/>
            </w:pPr>
            <w:r/>
            <w:r>
              <w:rPr>
                <w:rFonts w:ascii="Aptos" w:hAnsi="Aptos"/>
                <w:b w:val="0"/>
                <w:color w:val="172D2A"/>
                <w:sz w:val="14"/>
              </w:rPr>
              <w:t>VISUAL REVIEW ONLY</w:t>
            </w:r>
          </w:p>
        </w:tc>
        <w:tc>
          <w:tcPr>
            <w:tcW w:type="dxa" w:w="2448"/>
            <w:vAlign w:val="center"/>
            <w:shd w:fill="F0F3ED"/>
          </w:tcPr>
          <w:p>
            <w:pPr>
              <w:spacing w:after="0" w:before="0"/>
            </w:pPr>
            <w:r/>
            <w:r>
              <w:rPr>
                <w:rFonts w:ascii="Aptos" w:hAnsi="Aptos"/>
                <w:b w:val="0"/>
                <w:color w:val="172D2A"/>
                <w:sz w:val="14"/>
              </w:rPr>
              <w:t>Some values/filters need reconciliation; DAX was not executed independently.</w:t>
            </w:r>
          </w:p>
        </w:tc>
      </w:tr>
      <w:tr>
        <w:trPr>
          <w:cantSplit/>
        </w:trPr>
        <w:tc>
          <w:tcPr>
            <w:tcW w:type="dxa" w:w="2664"/>
            <w:vAlign w:val="center"/>
          </w:tcPr>
          <w:p>
            <w:pPr>
              <w:spacing w:after="0" w:before="0"/>
            </w:pPr>
            <w:r/>
            <w:r>
              <w:rPr>
                <w:rFonts w:ascii="Aptos" w:hAnsi="Aptos"/>
                <w:b w:val="0"/>
                <w:color w:val="172D2A"/>
                <w:sz w:val="14"/>
              </w:rPr>
              <w:t>Currency is USD</w:t>
            </w:r>
          </w:p>
        </w:tc>
        <w:tc>
          <w:tcPr>
            <w:tcW w:type="dxa" w:w="2376"/>
            <w:vAlign w:val="center"/>
          </w:tcPr>
          <w:p>
            <w:pPr>
              <w:spacing w:after="0" w:before="0"/>
            </w:pPr>
            <w:r/>
            <w:r>
              <w:rPr>
                <w:rFonts w:ascii="Aptos" w:hAnsi="Aptos"/>
                <w:b w:val="0"/>
                <w:color w:val="172D2A"/>
                <w:sz w:val="14"/>
              </w:rPr>
              <w:t>Amount_USD column and problem materials</w:t>
            </w:r>
          </w:p>
        </w:tc>
        <w:tc>
          <w:tcPr>
            <w:tcW w:type="dxa" w:w="2160"/>
            <w:vAlign w:val="center"/>
          </w:tcPr>
          <w:p>
            <w:pPr>
              <w:spacing w:after="0" w:before="0"/>
            </w:pPr>
            <w:r/>
            <w:r>
              <w:rPr>
                <w:rFonts w:ascii="Aptos" w:hAnsi="Aptos"/>
                <w:b w:val="0"/>
                <w:color w:val="172D2A"/>
                <w:sz w:val="14"/>
              </w:rPr>
              <w:t>SOURCE-LABEL ONLY</w:t>
            </w:r>
          </w:p>
        </w:tc>
        <w:tc>
          <w:tcPr>
            <w:tcW w:type="dxa" w:w="2448"/>
            <w:vAlign w:val="center"/>
          </w:tcPr>
          <w:p>
            <w:pPr>
              <w:spacing w:after="0" w:before="0"/>
            </w:pPr>
            <w:r/>
            <w:r>
              <w:rPr>
                <w:rFonts w:ascii="Aptos" w:hAnsi="Aptos"/>
                <w:b w:val="0"/>
                <w:color w:val="172D2A"/>
                <w:sz w:val="14"/>
              </w:rPr>
              <w:t>Currency/FX basis not independently verified.</w:t>
            </w:r>
          </w:p>
        </w:tc>
      </w:tr>
      <w:tr>
        <w:trPr>
          <w:cantSplit/>
        </w:trPr>
        <w:tc>
          <w:tcPr>
            <w:tcW w:type="dxa" w:w="2664"/>
            <w:vAlign w:val="center"/>
            <w:shd w:fill="F0F3ED"/>
          </w:tcPr>
          <w:p>
            <w:pPr>
              <w:spacing w:after="0" w:before="0"/>
            </w:pPr>
            <w:r/>
            <w:r>
              <w:rPr>
                <w:rFonts w:ascii="Aptos" w:hAnsi="Aptos"/>
                <w:b w:val="0"/>
                <w:color w:val="172D2A"/>
                <w:sz w:val="14"/>
              </w:rPr>
              <w:t>Industry and investor leaderboards</w:t>
            </w:r>
          </w:p>
        </w:tc>
        <w:tc>
          <w:tcPr>
            <w:tcW w:type="dxa" w:w="2376"/>
            <w:vAlign w:val="center"/>
            <w:shd w:fill="F0F3ED"/>
          </w:tcPr>
          <w:p>
            <w:pPr>
              <w:spacing w:after="0" w:before="0"/>
            </w:pPr>
            <w:r/>
            <w:r>
              <w:rPr>
                <w:rFonts w:ascii="Aptos" w:hAnsi="Aptos"/>
                <w:b w:val="0"/>
                <w:color w:val="172D2A"/>
                <w:sz w:val="14"/>
              </w:rPr>
              <w:t>Cleaned CSV fields</w:t>
            </w:r>
          </w:p>
        </w:tc>
        <w:tc>
          <w:tcPr>
            <w:tcW w:type="dxa" w:w="2160"/>
            <w:vAlign w:val="center"/>
            <w:shd w:fill="F0F3ED"/>
          </w:tcPr>
          <w:p>
            <w:pPr>
              <w:spacing w:after="0" w:before="0"/>
            </w:pPr>
            <w:r/>
            <w:r>
              <w:rPr>
                <w:rFonts w:ascii="Aptos" w:hAnsi="Aptos"/>
                <w:b w:val="0"/>
                <w:color w:val="172D2A"/>
                <w:sz w:val="14"/>
              </w:rPr>
              <w:t>PARTIAL / taxonomy-sensitive</w:t>
            </w:r>
          </w:p>
        </w:tc>
        <w:tc>
          <w:tcPr>
            <w:tcW w:type="dxa" w:w="2448"/>
            <w:vAlign w:val="center"/>
            <w:shd w:fill="F0F3ED"/>
          </w:tcPr>
          <w:p>
            <w:pPr>
              <w:spacing w:after="0" w:before="0"/>
            </w:pPr>
            <w:r/>
            <w:r>
              <w:rPr>
                <w:rFonts w:ascii="Aptos" w:hAnsi="Aptos"/>
                <w:b w:val="0"/>
                <w:color w:val="172D2A"/>
                <w:sz w:val="14"/>
              </w:rPr>
              <w:t>Canonical mapping and investor entity model needed before definitive ranking.</w:t>
            </w:r>
          </w:p>
        </w:tc>
      </w:tr>
    </w:tbl>
    <w:p>
      <w:pPr>
        <w:spacing w:after="0"/>
      </w:pPr>
    </w:p>
    <w:p>
      <w:pPr>
        <w:pStyle w:val="Heading2"/>
      </w:pPr>
      <w:r>
        <w:t>Limitations</w:t>
      </w:r>
    </w:p>
    <w:p>
      <w:pPr>
        <w:pStyle w:val="ListBullet"/>
        <w:spacing w:after="60" w:line="247" w:lineRule="auto"/>
      </w:pPr>
      <w:r>
        <w:rPr>
          <w:rFonts w:ascii="Aptos" w:hAnsi="Aptos"/>
          <w:color w:val="172D2A"/>
          <w:sz w:val="19"/>
        </w:rPr>
        <w:t>The raw source CSV referenced by the cleaning notebook was not supplied. Raw-versus-cleaned changes could not be independently reconciled from the source file.</w:t>
      </w:r>
    </w:p>
    <w:p>
      <w:pPr>
        <w:pStyle w:val="ListBullet"/>
        <w:spacing w:after="60" w:line="247" w:lineRule="auto"/>
      </w:pPr>
      <w:r>
        <w:rPr>
          <w:rFonts w:ascii="Aptos" w:hAnsi="Aptos"/>
          <w:color w:val="172D2A"/>
          <w:sz w:val="19"/>
        </w:rPr>
        <w:t>MySQL was not connected; SQL results are not certified as execution-tested. The supplied SQL document includes screenshots of outputs rather than a live database environment.</w:t>
      </w:r>
    </w:p>
    <w:p>
      <w:pPr>
        <w:pStyle w:val="ListBullet"/>
        <w:spacing w:after="60" w:line="247" w:lineRule="auto"/>
      </w:pPr>
      <w:r>
        <w:rPr>
          <w:rFonts w:ascii="Aptos" w:hAnsi="Aptos"/>
          <w:color w:val="172D2A"/>
          <w:sz w:val="19"/>
        </w:rPr>
        <w:t>Power BI Desktop execution was not available. Visuals and screenshots were reviewed, but DAX, relationship behavior, interactions, and filter propagation were not independently executed.</w:t>
      </w:r>
    </w:p>
    <w:p>
      <w:pPr>
        <w:pStyle w:val="ListBullet"/>
        <w:spacing w:after="60" w:line="247" w:lineRule="auto"/>
      </w:pPr>
      <w:r>
        <w:rPr>
          <w:rFonts w:ascii="Aptos" w:hAnsi="Aptos"/>
          <w:color w:val="172D2A"/>
          <w:sz w:val="19"/>
        </w:rPr>
        <w:t>Funding amounts are treated as USD because the supplied column is named Amount_USD; this label has not been externally verified. Missing amounts are excluded from amount-based statistics.</w:t>
      </w:r>
    </w:p>
    <w:p>
      <w:pPr>
        <w:pStyle w:val="ListBullet"/>
        <w:spacing w:after="60" w:line="247" w:lineRule="auto"/>
      </w:pPr>
      <w:r>
        <w:rPr>
          <w:rFonts w:ascii="Aptos" w:hAnsi="Aptos"/>
          <w:color w:val="172D2A"/>
          <w:sz w:val="19"/>
        </w:rPr>
        <w:t>The apparent record-count decline and annual funding change may reflect source coverage changes, not underlying market contraction. The maximum $3.9B record requires source-level confirmation.</w:t>
      </w:r>
    </w:p>
    <w:p>
      <w:pPr>
        <w:pStyle w:val="Heading2"/>
      </w:pPr>
      <w:r>
        <w:t>Conclusion</w:t>
      </w:r>
    </w:p>
    <w:p>
      <w:pPr>
        <w:spacing w:after="100" w:line="259" w:lineRule="auto"/>
      </w:pPr>
      <w:r>
        <w:rPr>
          <w:rFonts w:ascii="Aptos" w:hAnsi="Aptos"/>
          <w:i w:val="0"/>
          <w:sz w:val="20"/>
        </w:rPr>
        <w:t>The supplied data presents a high-concentration funding picture: disclosed capital is led by Private Equity, clustered in a small set of city labels, and heavily influenced by a handful of very large rounds. The strongest next step is not another visual; it is governance of the input categories, the outlier record, investor entities, and time-period completeness. Once those controls are in place, the three-page Power BI report can become a more defensible management monitoring tool.</w:t>
      </w:r>
    </w:p>
    <w:p>
      <w:pPr>
        <w:pStyle w:val="Heading2"/>
      </w:pPr>
      <w:r>
        <w:t>Source inventory</w:t>
      </w:r>
    </w:p>
    <w:p>
      <w:pPr>
        <w:pStyle w:val="ListBullet"/>
        <w:spacing w:after="60" w:line="247" w:lineRule="auto"/>
      </w:pPr>
      <w:r>
        <w:rPr>
          <w:rFonts w:ascii="Aptos" w:hAnsi="Aptos"/>
          <w:color w:val="172D2A"/>
          <w:sz w:val="19"/>
        </w:rPr>
        <w:t>Business scope: problem_statement(3).pdf, page 1.</w:t>
      </w:r>
    </w:p>
    <w:p>
      <w:pPr>
        <w:pStyle w:val="ListBullet"/>
        <w:spacing w:after="60" w:line="247" w:lineRule="auto"/>
      </w:pPr>
      <w:r>
        <w:rPr>
          <w:rFonts w:ascii="Aptos" w:hAnsi="Aptos"/>
          <w:color w:val="172D2A"/>
          <w:sz w:val="19"/>
        </w:rPr>
        <w:t>Dataset: cleaned_startup_funding(1).csv (3,044 rows × 12 columns).</w:t>
      </w:r>
    </w:p>
    <w:p>
      <w:pPr>
        <w:pStyle w:val="ListBullet"/>
        <w:spacing w:after="60" w:line="247" w:lineRule="auto"/>
      </w:pPr>
      <w:r>
        <w:rPr>
          <w:rFonts w:ascii="Aptos" w:hAnsi="Aptos"/>
          <w:color w:val="172D2A"/>
          <w:sz w:val="19"/>
        </w:rPr>
        <w:t>Cleaning and stored outputs: startup_funding_cleaning(1).ipynb; SQL query design and example outputs: sql_queries(2).pdf (12 pages); Power BI evidence: three supplied screenshots (Pages 1–3).</w:t>
      </w:r>
    </w:p>
    <w:sectPr w:rsidR="00FC693F" w:rsidRPr="0006063C" w:rsidSect="00034616">
      <w:headerReference w:type="default" r:id="rId9"/>
      <w:footerReference w:type="default" r:id="rId10"/>
      <w:pgSz w:w="12240" w:h="15840"/>
      <w:pgMar w:top="893" w:right="1037" w:bottom="893" w:left="1037"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66736D"/>
        <w:sz w:val="14"/>
      </w:rPr>
      <w:t xml:space="preserve">Prepared 28 October 2026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rFonts w:ascii="Aptos" w:hAnsi="Aptos"/>
        <w:b/>
        <w:color w:val="2C7A72"/>
        <w:sz w:val="14"/>
      </w:rPr>
      <w:t>INDIAN STARTUP FUNDING ANALYSIS  |  EVIDENCE-BASED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72D2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80"/>
      <w:outlineLvl w:val="0"/>
    </w:pPr>
    <w:rPr>
      <w:rFonts w:asciiTheme="majorHAnsi" w:eastAsiaTheme="majorEastAsia" w:hAnsiTheme="majorHAnsi" w:cstheme="majorBidi" w:ascii="Aptos Display" w:hAnsi="Aptos Display"/>
      <w:b/>
      <w:bCs/>
      <w:color w:val="183F3A"/>
      <w:sz w:val="44"/>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Aptos Display" w:hAnsi="Aptos Display"/>
      <w:b/>
      <w:bCs/>
      <w:color w:val="2C7A72"/>
      <w:sz w:val="30"/>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Aptos Display" w:hAnsi="Aptos Display"/>
      <w:b/>
      <w:bCs/>
      <w:color w:val="172D2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