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Tölvuleikjaritgerð Hópverkefni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OVERWATCH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Í ritgerðinni verður að koma fram eftirtalinn atriði: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Hvaða tegund af tölvuleik er um að ræða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Hvenær var hann búinn til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3. Hverjir eru höfundar og framleiðendur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4. Hverjir eru notendur leiksins (aldur – kyn - áhugamál)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Meðal aldur er 18-25, og spila aðra leiki.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5. Hvernig hefur leikurinn þróast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Leikurinn hefur þróast þannig að þeir hafa gert verulegar breytingar við næstum því allt í leiknum, til dæmis með því að bæta nýjar hetjur og kort til að spila 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6. Hverjar eru framtíðarhorfur leiksins eða hvenær var hætt að framleiða leikinn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Framtíðarhorf leiksins er að halda leiknum á floti með að laga allar villur í leiknum og gera leikinn jafnann. Það verða líka nýjar hetjur til að spila.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(9. Setjið myndefni á vefsíðuna til að styðja framsetninguna, athugið að það þarf ekki að geyma)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7. Heimildaskrá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8. Ritgerðin á að vera á íslensku eða á móðurmáli nemenda.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