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pBdr>
          <w:bottom w:val="single" w:color="2E75B6" w:sz="8" w:space="1"/>
        </w:pBdr>
      </w:pPr>
    </w:p>
    <w:p>
      <w:pPr>
        <w:spacing w:after="200" w:before="200"/>
      </w:pPr>
    </w:p>
    <w:p>
      <w:pPr>
        <w:spacing w:after="40"/>
      </w:pPr>
      <w:r>
        <w:rPr>
          <w:rFonts w:ascii="Arial" w:cs="Arial" w:eastAsia="Arial" w:hAnsi="Arial"/>
          <w:b/>
          <w:bCs/>
          <w:color w:val="1B3A5C"/>
          <w:sz w:val="48"/>
          <w:szCs w:val="48"/>
        </w:rPr>
        <w:t xml:space="preserve">ADMISSION OS</w:t>
      </w:r>
    </w:p>
    <w:p>
      <w:pPr>
        <w:spacing w:after="40" w:before="40"/>
      </w:pPr>
    </w:p>
    <w:p>
      <w:pPr>
        <w:spacing w:after="20"/>
      </w:pPr>
      <w:r>
        <w:rPr>
          <w:rFonts w:ascii="Arial" w:cs="Arial" w:eastAsia="Arial" w:hAnsi="Arial"/>
          <w:color w:val="2E75B6"/>
          <w:sz w:val="24"/>
          <w:szCs w:val="24"/>
        </w:rPr>
        <w:t xml:space="preserve">Business Requirements Document (BRD)</w:t>
      </w:r>
    </w:p>
    <w:p>
      <w:pPr>
        <w:spacing w:after="20"/>
      </w:pPr>
      <w:r>
        <w:rPr>
          <w:rFonts w:ascii="Arial" w:cs="Arial" w:eastAsia="Arial" w:hAnsi="Arial"/>
          <w:color w:val="2E75B6"/>
          <w:sz w:val="24"/>
          <w:szCs w:val="24"/>
        </w:rPr>
        <w:t xml:space="preserve">Product Requirements Document (PRD)</w:t>
      </w:r>
    </w:p>
    <w:p>
      <w:pPr>
        <w:spacing w:after="20"/>
      </w:pPr>
      <w:r>
        <w:rPr>
          <w:rFonts w:ascii="Arial" w:cs="Arial" w:eastAsia="Arial" w:hAnsi="Arial"/>
          <w:color w:val="2E75B6"/>
          <w:sz w:val="24"/>
          <w:szCs w:val="24"/>
        </w:rPr>
        <w:t xml:space="preserve">Technical Requirements Document (TRD)</w:t>
      </w:r>
    </w:p>
    <w:p>
      <w:pPr>
        <w:spacing w:after="60" w:before="60"/>
      </w:pPr>
    </w:p>
    <w:p>
      <w:pPr>
        <w:spacing w:after="20"/>
      </w:pPr>
      <w:r>
        <w:rPr>
          <w:rFonts w:ascii="Arial" w:cs="Arial" w:eastAsia="Arial" w:hAnsi="Arial"/>
          <w:i/>
          <w:iCs/>
          <w:color w:val="666666"/>
          <w:sz w:val="18"/>
          <w:szCs w:val="18"/>
        </w:rPr>
        <w:t xml:space="preserve">AI Agent-Orchestrated MBA/Masters Application Platform</w:t>
      </w:r>
    </w:p>
    <w:p>
      <w:pPr>
        <w:spacing w:after="20"/>
      </w:pPr>
      <w:r>
        <w:rPr>
          <w:rFonts w:ascii="Arial" w:cs="Arial" w:eastAsia="Arial" w:hAnsi="Arial"/>
          <w:color w:val="666666"/>
          <w:sz w:val="16"/>
          <w:szCs w:val="16"/>
        </w:rPr>
        <w:t xml:space="preserve">Powered by Google Gemini API  ·  Next.js 14  ·  Supabase  ·  Vercel</w:t>
      </w:r>
    </w:p>
    <w:p>
      <w:pPr>
        <w:spacing w:after="60" w:before="60"/>
      </w:pPr>
    </w:p>
    <w:p>
      <w:pPr>
        <w:pBdr>
          <w:bottom w:val="single" w:color="2E75B6" w:sz="4" w:space="1"/>
        </w:pBdr>
      </w:pPr>
    </w:p>
    <w:p>
      <w:pPr>
        <w:spacing w:after="200" w:before="200"/>
      </w:pP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none" w:sz="0"/>
              <w:left w:val="none" w:sz="0"/>
              <w:bottom w:val="none" w:sz="0"/>
              <w:right w:val="none" w:sz="0"/>
            </w:tcBorders>
          </w:tcPr>
          <w:p>
            <w:pPr>
              <w:spacing w:after="70"/>
            </w:pPr>
            <w:r>
              <w:rPr>
                <w:rFonts w:ascii="Arial" w:cs="Arial" w:eastAsia="Arial" w:hAnsi="Arial"/>
                <w:color w:val="666666"/>
                <w:sz w:val="18"/>
                <w:szCs w:val="18"/>
              </w:rPr>
              <w:t xml:space="preserve">Prepared for</w:t>
            </w:r>
          </w:p>
        </w:tc>
        <w:tc>
          <w:tcPr>
            <w:tcW w:type="dxa" w:w="3200"/>
            <w:tcBorders>
              <w:top w:val="none" w:sz="0"/>
              <w:left w:val="none" w:sz="0"/>
              <w:bottom w:val="none" w:sz="0"/>
              <w:right w:val="none" w:sz="0"/>
            </w:tcBorders>
          </w:tcPr>
          <w:p>
            <w:pPr>
              <w:spacing w:after="70"/>
            </w:pPr>
            <w:r>
              <w:rPr>
                <w:rFonts w:ascii="Arial" w:cs="Arial" w:eastAsia="Arial" w:hAnsi="Arial"/>
                <w:b/>
                <w:bCs/>
                <w:color w:val="1B3A5C"/>
                <w:sz w:val="20"/>
                <w:szCs w:val="20"/>
              </w:rPr>
              <w:t xml:space="preserve">Shridhar Yendamuri (Open Admits)</w:t>
            </w:r>
          </w:p>
        </w:tc>
      </w:tr>
      <w:tr>
        <w:tc>
          <w:tcPr>
            <w:tcW w:type="dxa" w:w="2000"/>
            <w:tcBorders>
              <w:top w:val="none" w:sz="0"/>
              <w:left w:val="none" w:sz="0"/>
              <w:bottom w:val="none" w:sz="0"/>
              <w:right w:val="none" w:sz="0"/>
            </w:tcBorders>
          </w:tcPr>
          <w:p>
            <w:pPr>
              <w:spacing w:after="70"/>
            </w:pPr>
            <w:r>
              <w:rPr>
                <w:rFonts w:ascii="Arial" w:cs="Arial" w:eastAsia="Arial" w:hAnsi="Arial"/>
                <w:color w:val="666666"/>
                <w:sz w:val="18"/>
                <w:szCs w:val="18"/>
              </w:rPr>
              <w:t xml:space="preserve">Prepared by</w:t>
            </w:r>
          </w:p>
        </w:tc>
        <w:tc>
          <w:tcPr>
            <w:tcW w:type="dxa" w:w="3200"/>
            <w:tcBorders>
              <w:top w:val="none" w:sz="0"/>
              <w:left w:val="none" w:sz="0"/>
              <w:bottom w:val="none" w:sz="0"/>
              <w:right w:val="none" w:sz="0"/>
            </w:tcBorders>
          </w:tcPr>
          <w:p>
            <w:pPr>
              <w:spacing w:after="70"/>
            </w:pPr>
            <w:r>
              <w:rPr>
                <w:rFonts w:ascii="Arial" w:cs="Arial" w:eastAsia="Arial" w:hAnsi="Arial"/>
                <w:b/>
                <w:bCs/>
                <w:color w:val="1B3A5C"/>
                <w:sz w:val="20"/>
                <w:szCs w:val="20"/>
              </w:rPr>
              <w:t xml:space="preserve">Brilworks Software</w:t>
            </w:r>
          </w:p>
        </w:tc>
      </w:tr>
      <w:tr>
        <w:tc>
          <w:tcPr>
            <w:tcW w:type="dxa" w:w="2000"/>
            <w:tcBorders>
              <w:top w:val="none" w:sz="0"/>
              <w:left w:val="none" w:sz="0"/>
              <w:bottom w:val="none" w:sz="0"/>
              <w:right w:val="none" w:sz="0"/>
            </w:tcBorders>
          </w:tcPr>
          <w:p>
            <w:pPr>
              <w:spacing w:after="70"/>
            </w:pPr>
            <w:r>
              <w:rPr>
                <w:rFonts w:ascii="Arial" w:cs="Arial" w:eastAsia="Arial" w:hAnsi="Arial"/>
                <w:color w:val="666666"/>
                <w:sz w:val="18"/>
                <w:szCs w:val="18"/>
              </w:rPr>
              <w:t xml:space="preserve">Date</w:t>
            </w:r>
          </w:p>
        </w:tc>
        <w:tc>
          <w:tcPr>
            <w:tcW w:type="dxa" w:w="3200"/>
            <w:tcBorders>
              <w:top w:val="none" w:sz="0"/>
              <w:left w:val="none" w:sz="0"/>
              <w:bottom w:val="none" w:sz="0"/>
              <w:right w:val="none" w:sz="0"/>
            </w:tcBorders>
          </w:tcPr>
          <w:p>
            <w:pPr>
              <w:spacing w:after="70"/>
            </w:pPr>
            <w:r>
              <w:rPr>
                <w:rFonts w:ascii="Arial" w:cs="Arial" w:eastAsia="Arial" w:hAnsi="Arial"/>
                <w:b/>
                <w:bCs/>
                <w:color w:val="1B3A5C"/>
                <w:sz w:val="20"/>
                <w:szCs w:val="20"/>
              </w:rPr>
              <w:t xml:space="preserve">April 2026</w:t>
            </w:r>
          </w:p>
        </w:tc>
      </w:tr>
      <w:tr>
        <w:tc>
          <w:tcPr>
            <w:tcW w:type="dxa" w:w="2000"/>
            <w:tcBorders>
              <w:top w:val="none" w:sz="0"/>
              <w:left w:val="none" w:sz="0"/>
              <w:bottom w:val="none" w:sz="0"/>
              <w:right w:val="none" w:sz="0"/>
            </w:tcBorders>
          </w:tcPr>
          <w:p>
            <w:pPr>
              <w:spacing w:after="70"/>
            </w:pPr>
            <w:r>
              <w:rPr>
                <w:rFonts w:ascii="Arial" w:cs="Arial" w:eastAsia="Arial" w:hAnsi="Arial"/>
                <w:color w:val="666666"/>
                <w:sz w:val="18"/>
                <w:szCs w:val="18"/>
              </w:rPr>
              <w:t xml:space="preserve">Version</w:t>
            </w:r>
          </w:p>
        </w:tc>
        <w:tc>
          <w:tcPr>
            <w:tcW w:type="dxa" w:w="3200"/>
            <w:tcBorders>
              <w:top w:val="none" w:sz="0"/>
              <w:left w:val="none" w:sz="0"/>
              <w:bottom w:val="none" w:sz="0"/>
              <w:right w:val="none" w:sz="0"/>
            </w:tcBorders>
          </w:tcPr>
          <w:p>
            <w:pPr>
              <w:spacing w:after="70"/>
            </w:pPr>
            <w:r>
              <w:rPr>
                <w:rFonts w:ascii="Arial" w:cs="Arial" w:eastAsia="Arial" w:hAnsi="Arial"/>
                <w:b/>
                <w:bCs/>
                <w:color w:val="1B3A5C"/>
                <w:sz w:val="20"/>
                <w:szCs w:val="20"/>
              </w:rPr>
              <w:t xml:space="preserve">1.0</w:t>
            </w:r>
          </w:p>
        </w:tc>
      </w:tr>
      <w:tr>
        <w:tc>
          <w:tcPr>
            <w:tcW w:type="dxa" w:w="2000"/>
            <w:tcBorders>
              <w:top w:val="none" w:sz="0"/>
              <w:left w:val="none" w:sz="0"/>
              <w:bottom w:val="none" w:sz="0"/>
              <w:right w:val="none" w:sz="0"/>
            </w:tcBorders>
          </w:tcPr>
          <w:p>
            <w:pPr>
              <w:spacing w:after="70"/>
            </w:pPr>
            <w:r>
              <w:rPr>
                <w:rFonts w:ascii="Arial" w:cs="Arial" w:eastAsia="Arial" w:hAnsi="Arial"/>
                <w:color w:val="666666"/>
                <w:sz w:val="18"/>
                <w:szCs w:val="18"/>
              </w:rPr>
              <w:t xml:space="preserve">Classification</w:t>
            </w:r>
          </w:p>
        </w:tc>
        <w:tc>
          <w:tcPr>
            <w:tcW w:type="dxa" w:w="3200"/>
            <w:tcBorders>
              <w:top w:val="none" w:sz="0"/>
              <w:left w:val="none" w:sz="0"/>
              <w:bottom w:val="none" w:sz="0"/>
              <w:right w:val="none" w:sz="0"/>
            </w:tcBorders>
          </w:tcPr>
          <w:p>
            <w:pPr>
              <w:spacing w:after="70"/>
            </w:pPr>
            <w:r>
              <w:rPr>
                <w:rFonts w:ascii="Arial" w:cs="Arial" w:eastAsia="Arial" w:hAnsi="Arial"/>
                <w:b/>
                <w:bCs/>
                <w:color w:val="1B3A5C"/>
                <w:sz w:val="20"/>
                <w:szCs w:val="20"/>
              </w:rPr>
              <w:t xml:space="preserve">Confidential — Internal + Client</w:t>
            </w:r>
          </w:p>
        </w:tc>
      </w:tr>
      <w:tr>
        <w:tc>
          <w:tcPr>
            <w:tcW w:type="dxa" w:w="2000"/>
            <w:tcBorders>
              <w:top w:val="none" w:sz="0"/>
              <w:left w:val="none" w:sz="0"/>
              <w:bottom w:val="none" w:sz="0"/>
              <w:right w:val="none" w:sz="0"/>
            </w:tcBorders>
          </w:tcPr>
          <w:p>
            <w:pPr>
              <w:spacing w:after="70"/>
            </w:pPr>
            <w:r>
              <w:rPr>
                <w:rFonts w:ascii="Arial" w:cs="Arial" w:eastAsia="Arial" w:hAnsi="Arial"/>
                <w:color w:val="666666"/>
                <w:sz w:val="18"/>
                <w:szCs w:val="18"/>
              </w:rPr>
              <w:t xml:space="preserve">Related docs</w:t>
            </w:r>
          </w:p>
        </w:tc>
        <w:tc>
          <w:tcPr>
            <w:tcW w:type="dxa" w:w="3200"/>
            <w:tcBorders>
              <w:top w:val="none" w:sz="0"/>
              <w:left w:val="none" w:sz="0"/>
              <w:bottom w:val="none" w:sz="0"/>
              <w:right w:val="none" w:sz="0"/>
            </w:tcBorders>
          </w:tcPr>
          <w:p>
            <w:pPr>
              <w:spacing w:after="70"/>
            </w:pPr>
            <w:r>
              <w:rPr>
                <w:rFonts w:ascii="Arial" w:cs="Arial" w:eastAsia="Arial" w:hAnsi="Arial"/>
                <w:b/>
                <w:bCs/>
                <w:color w:val="1B3A5C"/>
                <w:sz w:val="20"/>
                <w:szCs w:val="20"/>
              </w:rPr>
              <w:t xml:space="preserve">Cost Estimation v3.1, User Workflow v1.0, Project Plan v3.0</w:t>
            </w:r>
          </w:p>
        </w:tc>
      </w:tr>
    </w:tbl>
    <w:p>
      <w:pPr>
        <w:spacing w:after="300" w:before="300"/>
      </w:pPr>
    </w:p>
    <w:p>
      <w:pPr>
        <w:spacing w:after="60" w:before="60" w:line="300"/>
      </w:pPr>
      <w:r>
        <w:rPr>
          <w:rFonts w:ascii="Arial" w:cs="Arial" w:eastAsia="Arial" w:hAnsi="Arial"/>
          <w:i/>
          <w:iCs/>
          <w:color w:val="666666"/>
          <w:sz w:val="16"/>
          <w:szCs w:val="16"/>
        </w:rPr>
        <w:t xml:space="preserve">This document is the single source of truth for what we are building (BRD), how it should work for users (PRD), and how it will be implemented technically (TRD). It is designed to be read by the product founder, the engineering team, and the design team.</w:t>
      </w:r>
    </w:p>
    <w:p>
      <w:pPr>
        <w:sectPr>
          <w:pgSz w:w="12240" w:h="15840" w:orient="portrait"/>
          <w:pgMar w:top="1440" w:right="1440" w:bottom="1440" w:left="1440" w:header="708" w:footer="708" w:gutter="0"/>
          <w:pgNumType/>
          <w:docGrid w:linePitch="360"/>
        </w:sectPr>
      </w:pPr>
    </w:p>
    <w:p>
      <w:pPr>
        <w:spacing w:after="200" w:before="100"/>
      </w:pPr>
      <w:r>
        <w:rPr>
          <w:rFonts w:ascii="Arial" w:cs="Arial" w:eastAsia="Arial" w:hAnsi="Arial"/>
          <w:b/>
          <w:bCs/>
          <w:color w:val="1B3A5C"/>
          <w:sz w:val="30"/>
          <w:szCs w:val="30"/>
        </w:rPr>
        <w:t xml:space="preserve">PART A: BUSINESS REQUIREMENTS DOCUMENT (BRD)</w:t>
      </w:r>
    </w:p>
    <w:p>
      <w:pPr>
        <w:pBdr>
          <w:bottom w:val="single" w:color="2E75B6" w:sz="6" w:space="1"/>
        </w:pBdr>
      </w:pPr>
    </w:p>
    <w:p>
      <w:pPr>
        <w:spacing w:after="100" w:before="100"/>
      </w:pPr>
    </w:p>
    <w:p>
      <w:pPr>
        <w:pBdr>
          <w:bottom w:val="single" w:color="2E75B6" w:sz="4" w:space="6"/>
        </w:pBdr>
        <w:spacing w:after="200" w:before="400"/>
      </w:pPr>
      <w:r>
        <w:rPr>
          <w:rFonts w:ascii="Arial" w:cs="Arial" w:eastAsia="Arial" w:hAnsi="Arial"/>
          <w:b/>
          <w:bCs/>
          <w:color w:val="1B3A5C"/>
          <w:sz w:val="26"/>
          <w:szCs w:val="26"/>
        </w:rPr>
        <w:t xml:space="preserve">A1. BUSINESS OBJECTIVE</w:t>
      </w:r>
    </w:p>
    <w:p>
      <w:pPr>
        <w:spacing w:after="60" w:before="60" w:line="300"/>
      </w:pPr>
      <w:r>
        <w:rPr>
          <w:rFonts w:ascii="Arial" w:cs="Arial" w:eastAsia="Arial" w:hAnsi="Arial"/>
          <w:color w:val="444444"/>
          <w:sz w:val="20"/>
          <w:szCs w:val="20"/>
        </w:rPr>
        <w:t xml:space="preserve">Build a multi-agent AI platform that replicates the methodology of Open Admits’ boutique admissions consulting practice (openadmits.com) as a scalable, self-serve software product. The platform should deliver 80% of what a $5,000–$10,000 human consultant provides at a $197–$397 price point, while preserving the narrative-first, story-driven approach that has produced 130+ admits to top schools including HBS, Wharton, Stanford, Kellogg, Columbia, MIT Sloan, INSEAD, and LBS.</w:t>
      </w:r>
    </w:p>
    <w:p>
      <w:pPr>
        <w:spacing w:after="60" w:before="60" w:line="300"/>
      </w:pPr>
      <w:r>
        <w:rPr>
          <w:rFonts w:ascii="Arial" w:cs="Arial" w:eastAsia="Arial" w:hAnsi="Arial"/>
          <w:color w:val="444444"/>
          <w:sz w:val="20"/>
          <w:szCs w:val="20"/>
        </w:rPr>
        <w:t xml:space="preserve">The platform is NOT a writing tool or essay grader. It is an admissions operating system that coaches students through positioning, document creation, evaluation, restructuring, and cross-application consistency — the same end-to-end process Open Admits delivers manually today.</w:t>
      </w:r>
    </w:p>
    <w:p>
      <w:pPr>
        <w:pBdr>
          <w:bottom w:val="single" w:color="2E75B6" w:sz="4" w:space="6"/>
        </w:pBdr>
        <w:spacing w:after="200" w:before="400"/>
      </w:pPr>
      <w:r>
        <w:rPr>
          <w:rFonts w:ascii="Arial" w:cs="Arial" w:eastAsia="Arial" w:hAnsi="Arial"/>
          <w:b/>
          <w:bCs/>
          <w:color w:val="1B3A5C"/>
          <w:sz w:val="26"/>
          <w:szCs w:val="26"/>
        </w:rPr>
        <w:t xml:space="preserve">A2.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80"/>
        <w:gridCol w:w="2880"/>
      </w:tblGrid>
      <w:tr>
        <w:tc>
          <w:tcPr>
            <w:tcW w:type="dxa" w:w="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Goal</w:t>
            </w:r>
          </w:p>
        </w:tc>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Success metric</w:t>
            </w:r>
          </w:p>
        </w:tc>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G1</w:t>
            </w:r>
          </w:p>
        </w:tc>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Launch a working MVP with 20 beta students</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Beta cohort completes full onboarding + at least 1 essay</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1B5E20"/>
                <w:sz w:val="17"/>
                <w:szCs w:val="17"/>
              </w:rPr>
              <w:t xml:space="preserve">End of Week 10</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G2</w:t>
            </w:r>
          </w:p>
        </w:tc>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Achieve product-market fit signal</w:t>
            </w:r>
          </w:p>
        </w:tc>
        <w:tc>
          <w:tcPr>
            <w:tcW w:type="dxa" w:w="28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NPS ≥ 40 from beta cohort</w:t>
            </w:r>
          </w:p>
        </w:tc>
        <w:tc>
          <w:tcPr>
            <w:tcW w:type="dxa" w:w="28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1B5E20"/>
                <w:sz w:val="17"/>
                <w:szCs w:val="17"/>
              </w:rPr>
              <w:t xml:space="preserve">Week 12</w:t>
            </w:r>
          </w:p>
        </w:tc>
      </w:tr>
      <w:tr>
        <w:tc>
          <w:tcPr>
            <w:tcW w:type="dxa" w:w="6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G3</w:t>
            </w:r>
          </w:p>
        </w:tc>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Validate AI replacement of human consulting</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75%+ of beta students report “the agent understood my story”</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1B5E20"/>
                <w:sz w:val="17"/>
                <w:szCs w:val="17"/>
              </w:rPr>
              <w:t xml:space="preserve">Week 12</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G4</w:t>
            </w:r>
          </w:p>
        </w:tc>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Maintain healthy unit economics</w:t>
            </w:r>
          </w:p>
        </w:tc>
        <w:tc>
          <w:tcPr>
            <w:tcW w:type="dxa" w:w="28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Blended AI cost ≤ $18/student with caching</w:t>
            </w:r>
          </w:p>
        </w:tc>
        <w:tc>
          <w:tcPr>
            <w:tcW w:type="dxa" w:w="28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1B5E20"/>
                <w:sz w:val="17"/>
                <w:szCs w:val="17"/>
              </w:rPr>
              <w:t xml:space="preserve">Ongoing</w:t>
            </w:r>
          </w:p>
        </w:tc>
      </w:tr>
      <w:tr>
        <w:tc>
          <w:tcPr>
            <w:tcW w:type="dxa" w:w="6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G5</w:t>
            </w:r>
          </w:p>
        </w:tc>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Scale to 500 paying users within 6 months</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400+ users across Core + Full tiers</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1B5E20"/>
                <w:sz w:val="17"/>
                <w:szCs w:val="17"/>
              </w:rPr>
              <w:t xml:space="preserve">Month 6 post-launch</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G6</w:t>
            </w:r>
          </w:p>
        </w:tc>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Create a cross-sell channel for Open Admits</w:t>
            </w:r>
          </w:p>
        </w:tc>
        <w:tc>
          <w:tcPr>
            <w:tcW w:type="dxa" w:w="28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15–25% of Full tier users book a consulting session</w:t>
            </w:r>
          </w:p>
        </w:tc>
        <w:tc>
          <w:tcPr>
            <w:tcW w:type="dxa" w:w="28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1B5E20"/>
                <w:sz w:val="17"/>
                <w:szCs w:val="17"/>
              </w:rPr>
              <w:t xml:space="preserve">Month 6</w:t>
            </w:r>
          </w:p>
        </w:tc>
      </w:tr>
      <w:tr>
        <w:tc>
          <w:tcPr>
            <w:tcW w:type="dxa" w:w="6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G7</w:t>
            </w:r>
          </w:p>
        </w:tc>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Establish the NAO as an industry-standard format</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2+ partner consulting firms adopt the NAO intake</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1B5E20"/>
                <w:sz w:val="17"/>
                <w:szCs w:val="17"/>
              </w:rPr>
              <w:t xml:space="preserve">Month 12</w:t>
            </w:r>
          </w:p>
        </w:tc>
      </w:tr>
    </w:tbl>
    <w:p>
      <w:pPr>
        <w:pBdr>
          <w:bottom w:val="single" w:color="2E75B6" w:sz="4" w:space="6"/>
        </w:pBdr>
        <w:spacing w:after="200" w:before="400"/>
      </w:pPr>
      <w:r>
        <w:rPr>
          <w:rFonts w:ascii="Arial" w:cs="Arial" w:eastAsia="Arial" w:hAnsi="Arial"/>
          <w:b/>
          <w:bCs/>
          <w:color w:val="1B3A5C"/>
          <w:sz w:val="26"/>
          <w:szCs w:val="26"/>
        </w:rPr>
        <w:t xml:space="preserve">A3. TARGET MARKET</w:t>
      </w:r>
    </w:p>
    <w:p>
      <w:pPr>
        <w:spacing w:after="60" w:before="60" w:line="300"/>
      </w:pPr>
      <w:r>
        <w:rPr>
          <w:rFonts w:ascii="Arial" w:cs="Arial" w:eastAsia="Arial" w:hAnsi="Arial"/>
          <w:color w:val="444444"/>
          <w:sz w:val="20"/>
          <w:szCs w:val="20"/>
        </w:rPr>
        <w:t xml:space="preserve">Primary: Working professionals (24–32 years old) applying to top MBA/Masters programs globally. Predominantly from India, China, Middle East, and other international markets. Cannot afford $5K–10K boutique consulting but want more than a static platform or generic AI tool.</w:t>
      </w:r>
    </w:p>
    <w:p>
      <w:pPr>
        <w:spacing w:after="60" w:before="60" w:line="300"/>
      </w:pPr>
      <w:r>
        <w:rPr>
          <w:rFonts w:ascii="Arial" w:cs="Arial" w:eastAsia="Arial" w:hAnsi="Arial"/>
          <w:color w:val="444444"/>
          <w:sz w:val="20"/>
          <w:szCs w:val="20"/>
        </w:rPr>
        <w:t xml:space="preserve">Secondary: Boutique admissions consulting firms (like Open Admits, Admissions Gateway, MBA Crystal Ball) who want to white-label the platform as their self-serve tier or use it as a consultant productivity tool.</w:t>
      </w:r>
    </w:p>
    <w:p>
      <w:pPr>
        <w:spacing w:after="60" w:before="60" w:line="300"/>
      </w:pPr>
      <w:r>
        <w:rPr>
          <w:rFonts w:ascii="Arial" w:cs="Arial" w:eastAsia="Arial" w:hAnsi="Arial"/>
          <w:color w:val="444444"/>
          <w:sz w:val="20"/>
          <w:szCs w:val="20"/>
        </w:rPr>
        <w:t xml:space="preserve">Tertiary: Marketplace platforms (like Leland) who want to integrate AI-powered admissions intelligence into their coach network.</w:t>
      </w:r>
    </w:p>
    <w:p>
      <w:pPr>
        <w:pBdr>
          <w:bottom w:val="single" w:color="2E75B6" w:sz="4" w:space="6"/>
        </w:pBdr>
        <w:spacing w:after="200" w:before="400"/>
      </w:pPr>
      <w:r>
        <w:rPr>
          <w:rFonts w:ascii="Arial" w:cs="Arial" w:eastAsia="Arial" w:hAnsi="Arial"/>
          <w:b/>
          <w:bCs/>
          <w:color w:val="1B3A5C"/>
          <w:sz w:val="26"/>
          <w:szCs w:val="26"/>
        </w:rPr>
        <w:t xml:space="preserve">A4.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Price</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includes</w:t>
            </w:r>
          </w:p>
        </w:tc>
      </w:tr>
      <w:tr>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Free</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2E75B6"/>
                <w:sz w:val="19"/>
                <w:szCs w:val="19"/>
              </w:rPr>
              <w:t xml:space="preserve">$0</w:t>
            </w:r>
          </w:p>
        </w:tc>
        <w:tc>
          <w:tcPr>
            <w:tcW w:type="dxa" w:w="6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Consultation form intake only. 1 video lesson. 1 essay – AI score only. No rewrites, no version history, no agents.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Core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2E75B6"/>
                <w:sz w:val="19"/>
                <w:szCs w:val="19"/>
              </w:rPr>
              <w:t xml:space="preserve">$197</w:t>
            </w:r>
          </w:p>
        </w:tc>
        <w:tc>
          <w:tcPr>
            <w:tcW w:type="dxa" w:w="6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Full consultation + NAO. Resume. All 7 personal essays. Rec letter guidance. 3 target schools. 1 scholarship essay. Transcripts. Unlimited AI evaluations + rewrites. Version history. School scoring for 3 schools.</w:t>
            </w:r>
          </w:p>
        </w:tc>
      </w:tr>
      <w:tr>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Full Application</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2E75B6"/>
                <w:sz w:val="19"/>
                <w:szCs w:val="19"/>
              </w:rPr>
              <w:t xml:space="preserve">$397</w:t>
            </w:r>
          </w:p>
        </w:tc>
        <w:tc>
          <w:tcPr>
            <w:tcW w:type="dxa" w:w="6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Everything in Core. Unlimited schools. All scholarship essays. Interview prep. Application health score. Side-by-side school comparison. Narrative consistency. Cross-school reuse detection. Voice-to-draft (Whisper).</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Full + Consulting</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2E75B6"/>
                <w:sz w:val="19"/>
                <w:szCs w:val="19"/>
              </w:rPr>
              <w:t xml:space="preserve">$397 + sessions</w:t>
            </w:r>
          </w:p>
        </w:tc>
        <w:tc>
          <w:tcPr>
            <w:tcW w:type="dxa" w:w="6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Everything in Full. Strategy session $250, Document review $150, Mock interview $120, Async Loom $80. Consultant pre-briefed with full NAO + agent history.</w:t>
            </w:r>
          </w:p>
        </w:tc>
      </w:tr>
    </w:tbl>
    <w:p>
      <w:pPr>
        <w:pBdr>
          <w:bottom w:val="single" w:color="2E75B6" w:sz="4" w:space="6"/>
        </w:pBdr>
        <w:spacing w:after="200" w:before="400"/>
      </w:pPr>
      <w:r>
        <w:rPr>
          <w:rFonts w:ascii="Arial" w:cs="Arial" w:eastAsia="Arial" w:hAnsi="Arial"/>
          <w:b/>
          <w:bCs/>
          <w:color w:val="1B3A5C"/>
          <w:sz w:val="26"/>
          <w:szCs w:val="26"/>
        </w:rPr>
        <w:t xml:space="preserve">A5. COMPETITIVE POSITION</w:t>
      </w:r>
    </w:p>
    <w:p>
      <w:pPr>
        <w:spacing w:after="60" w:before="60" w:line="300"/>
      </w:pPr>
      <w:r>
        <w:rPr>
          <w:rFonts w:ascii="Arial" w:cs="Arial" w:eastAsia="Arial" w:hAnsi="Arial"/>
          <w:color w:val="444444"/>
          <w:sz w:val="20"/>
          <w:szCs w:val="20"/>
        </w:rPr>
        <w:t xml:space="preserve">Admission OS occupies a unique gap in the $500M+ MBA admissions consulting market:</w:t>
      </w:r>
    </w:p>
    <w:p>
      <w:pPr>
        <w:pStyle w:val="ListParagraph"/>
        <w:numPr>
          <w:ilvl w:val="0"/>
          <w:numId w:val="2"/>
        </w:numPr>
        <w:spacing w:after="50" w:before="50" w:line="280"/>
      </w:pPr>
      <w:r>
        <w:rPr>
          <w:rFonts w:ascii="Arial" w:cs="Arial" w:eastAsia="Arial" w:hAnsi="Arial"/>
          <w:b/>
          <w:bCs/>
          <w:color w:val="333333"/>
          <w:sz w:val="19"/>
          <w:szCs w:val="19"/>
        </w:rPr>
        <w:t xml:space="preserve">vs Premium boutiques ($5K–15K): </w:t>
      </w:r>
      <w:r>
        <w:rPr>
          <w:rFonts w:ascii="Arial" w:cs="Arial" w:eastAsia="Arial" w:hAnsi="Arial"/>
          <w:color w:val="444444"/>
          <w:sz w:val="19"/>
          <w:szCs w:val="19"/>
        </w:rPr>
        <w:t xml:space="preserve">Delivers 80% of the strategic intelligence at 5% of the price. AI replaces the first 3 drafts of consulting work; human consultant available for final 20%.</w:t>
      </w:r>
    </w:p>
    <w:p>
      <w:pPr>
        <w:pStyle w:val="ListParagraph"/>
        <w:numPr>
          <w:ilvl w:val="0"/>
          <w:numId w:val="2"/>
        </w:numPr>
        <w:spacing w:after="50" w:before="50" w:line="280"/>
      </w:pPr>
      <w:r>
        <w:rPr>
          <w:rFonts w:ascii="Arial" w:cs="Arial" w:eastAsia="Arial" w:hAnsi="Arial"/>
          <w:b/>
          <w:bCs/>
          <w:color w:val="333333"/>
          <w:sz w:val="19"/>
          <w:szCs w:val="19"/>
        </w:rPr>
        <w:t xml:space="preserve">vs Self-serve platforms ($349): </w:t>
      </w:r>
      <w:r>
        <w:rPr>
          <w:rFonts w:ascii="Arial" w:cs="Arial" w:eastAsia="Arial" w:hAnsi="Arial"/>
          <w:color w:val="444444"/>
          <w:sz w:val="19"/>
          <w:szCs w:val="19"/>
        </w:rPr>
        <w:t xml:space="preserve">Only $48 more than ApplicantLab but delivers AI-powered strategic positioning, multi-agent evaluation, voice-matched rewrites, and cross-document analysis. ApplicantLab is static content.</w:t>
      </w:r>
    </w:p>
    <w:p>
      <w:pPr>
        <w:pStyle w:val="ListParagraph"/>
        <w:numPr>
          <w:ilvl w:val="0"/>
          <w:numId w:val="2"/>
        </w:numPr>
        <w:spacing w:after="50" w:before="50" w:line="280"/>
      </w:pPr>
      <w:r>
        <w:rPr>
          <w:rFonts w:ascii="Arial" w:cs="Arial" w:eastAsia="Arial" w:hAnsi="Arial"/>
          <w:b/>
          <w:bCs/>
          <w:color w:val="333333"/>
          <w:sz w:val="19"/>
          <w:szCs w:val="19"/>
        </w:rPr>
        <w:t xml:space="preserve">vs AI tools ($20–40/mo): </w:t>
      </w:r>
      <w:r>
        <w:rPr>
          <w:rFonts w:ascii="Arial" w:cs="Arial" w:eastAsia="Arial" w:hAnsi="Arial"/>
          <w:color w:val="444444"/>
          <w:sz w:val="19"/>
          <w:szCs w:val="19"/>
        </w:rPr>
        <w:t xml:space="preserve">The only AI tool that builds strategic positioning (NAO) before writing, challenges goal logic (Framework Agent), restructures narrative arcs (Story Architect), and analyses the full application holistically (Gap Agent). Current AI tools are single-agent essay scorers.</w:t>
      </w:r>
    </w:p>
    <w:p>
      <w:pPr>
        <w:pStyle w:val="ListParagraph"/>
        <w:numPr>
          <w:ilvl w:val="0"/>
          <w:numId w:val="2"/>
        </w:numPr>
        <w:spacing w:after="50" w:before="50" w:line="280"/>
      </w:pPr>
      <w:r>
        <w:rPr>
          <w:rFonts w:ascii="Arial" w:cs="Arial" w:eastAsia="Arial" w:hAnsi="Arial"/>
          <w:b/>
          <w:bCs/>
          <w:color w:val="333333"/>
          <w:sz w:val="19"/>
          <w:szCs w:val="19"/>
        </w:rPr>
        <w:t xml:space="preserve">vs General AI (ChatGPT/Claude DIY): </w:t>
      </w:r>
      <w:r>
        <w:rPr>
          <w:rFonts w:ascii="Arial" w:cs="Arial" w:eastAsia="Arial" w:hAnsi="Arial"/>
          <w:color w:val="444444"/>
          <w:sz w:val="19"/>
          <w:szCs w:val="19"/>
        </w:rPr>
        <w:t xml:space="preserve">Admissions-specific rubrics, school-calibrated scoring, voice fingerprinting, cross-document consistency. General AI produces generic output with no admissions expertise.</w:t>
      </w:r>
    </w:p>
    <w:p>
      <w:pPr>
        <w:pBdr>
          <w:bottom w:val="single" w:color="2E75B6" w:sz="4" w:space="6"/>
        </w:pBdr>
        <w:spacing w:after="200" w:before="400"/>
      </w:pPr>
      <w:r>
        <w:rPr>
          <w:rFonts w:ascii="Arial" w:cs="Arial" w:eastAsia="Arial" w:hAnsi="Arial"/>
          <w:b/>
          <w:bCs/>
          <w:color w:val="1B3A5C"/>
          <w:sz w:val="26"/>
          <w:szCs w:val="26"/>
        </w:rPr>
        <w:t xml:space="preserve">A6. KEY BUSINESS CONSTRAINTS</w:t>
      </w:r>
    </w:p>
    <w:p>
      <w:pPr>
        <w:pStyle w:val="ListParagraph"/>
        <w:numPr>
          <w:ilvl w:val="0"/>
          <w:numId w:val="2"/>
        </w:numPr>
        <w:spacing w:after="50" w:before="50" w:line="280"/>
      </w:pPr>
      <w:r>
        <w:rPr>
          <w:rFonts w:ascii="Arial" w:cs="Arial" w:eastAsia="Arial" w:hAnsi="Arial"/>
          <w:color w:val="444444"/>
          <w:sz w:val="19"/>
          <w:szCs w:val="19"/>
        </w:rPr>
        <w:t xml:space="preserve">Per-student AI cost must stay ≤ $18 blended with prompt caching. Without caching, cost rises to ~$45 and margins drop from 96% to 89%.</w:t>
      </w:r>
    </w:p>
    <w:p>
      <w:pPr>
        <w:pStyle w:val="ListParagraph"/>
        <w:numPr>
          <w:ilvl w:val="0"/>
          <w:numId w:val="2"/>
        </w:numPr>
        <w:spacing w:after="50" w:before="50" w:line="280"/>
      </w:pPr>
      <w:r>
        <w:rPr>
          <w:rFonts w:ascii="Arial" w:cs="Arial" w:eastAsia="Arial" w:hAnsi="Arial"/>
          <w:color w:val="444444"/>
          <w:sz w:val="19"/>
          <w:szCs w:val="19"/>
        </w:rPr>
        <w:t xml:space="preserve">Prompt caching is non-negotiable in Phase 3. The entire unit economics model depends on it.</w:t>
      </w:r>
    </w:p>
    <w:p>
      <w:pPr>
        <w:pStyle w:val="ListParagraph"/>
        <w:numPr>
          <w:ilvl w:val="0"/>
          <w:numId w:val="2"/>
        </w:numPr>
        <w:spacing w:after="50" w:before="50" w:line="280"/>
      </w:pPr>
      <w:r>
        <w:rPr>
          <w:rFonts w:ascii="Arial" w:cs="Arial" w:eastAsia="Arial" w:hAnsi="Arial"/>
          <w:color w:val="444444"/>
          <w:sz w:val="19"/>
          <w:szCs w:val="19"/>
        </w:rPr>
        <w:t xml:space="preserve">Per-user daily spend cap of $1.50/day enforced at edge function level to protect against P99 outliers.</w:t>
      </w:r>
    </w:p>
    <w:p>
      <w:pPr>
        <w:pStyle w:val="ListParagraph"/>
        <w:numPr>
          <w:ilvl w:val="0"/>
          <w:numId w:val="2"/>
        </w:numPr>
        <w:spacing w:after="50" w:before="50" w:line="280"/>
      </w:pPr>
      <w:r>
        <w:rPr>
          <w:rFonts w:ascii="Arial" w:cs="Arial" w:eastAsia="Arial" w:hAnsi="Arial"/>
          <w:color w:val="444444"/>
          <w:sz w:val="19"/>
          <w:szCs w:val="19"/>
        </w:rPr>
        <w:t xml:space="preserve">Framework gate is soft-only in MVP — warns but never blocks. Hard blocking deferred to post-beta based on user feedback.</w:t>
      </w:r>
    </w:p>
    <w:p>
      <w:pPr>
        <w:pStyle w:val="ListParagraph"/>
        <w:numPr>
          <w:ilvl w:val="0"/>
          <w:numId w:val="2"/>
        </w:numPr>
        <w:spacing w:after="50" w:before="50" w:line="280"/>
      </w:pPr>
      <w:r>
        <w:rPr>
          <w:rFonts w:ascii="Arial" w:cs="Arial" w:eastAsia="Arial" w:hAnsi="Arial"/>
          <w:color w:val="444444"/>
          <w:sz w:val="19"/>
          <w:szCs w:val="19"/>
        </w:rPr>
        <w:t xml:space="preserve">AdCom simulation (Opus-level model) deferred to Phase 2. MVP uses Gemini 2.5 Flash / Pro only.</w:t>
      </w:r>
    </w:p>
    <w:p>
      <w:pPr>
        <w:pStyle w:val="ListParagraph"/>
        <w:numPr>
          <w:ilvl w:val="0"/>
          <w:numId w:val="2"/>
        </w:numPr>
        <w:spacing w:after="50" w:before="50" w:line="280"/>
      </w:pPr>
      <w:r>
        <w:rPr>
          <w:rFonts w:ascii="Arial" w:cs="Arial" w:eastAsia="Arial" w:hAnsi="Arial"/>
          <w:color w:val="444444"/>
          <w:sz w:val="19"/>
          <w:szCs w:val="19"/>
        </w:rPr>
        <w:t xml:space="preserve">No guarantees of admission. Marketing must be clear this is a coaching tool, not an admission guarantee.</w:t>
      </w:r>
    </w:p>
    <w:p>
      <w:r>
        <w:br w:type="page"/>
      </w:r>
    </w:p>
    <w:p>
      <w:pPr>
        <w:spacing w:after="200" w:before="100"/>
      </w:pPr>
      <w:r>
        <w:rPr>
          <w:rFonts w:ascii="Arial" w:cs="Arial" w:eastAsia="Arial" w:hAnsi="Arial"/>
          <w:b/>
          <w:bCs/>
          <w:color w:val="1B3A5C"/>
          <w:sz w:val="30"/>
          <w:szCs w:val="30"/>
        </w:rPr>
        <w:t xml:space="preserve">PART B: PRODUCT REQUIREMENTS DOCUMENT (PRD)</w:t>
      </w:r>
    </w:p>
    <w:p>
      <w:pPr>
        <w:pBdr>
          <w:bottom w:val="single" w:color="2E75B6" w:sz="6" w:space="1"/>
        </w:pBdr>
      </w:pPr>
    </w:p>
    <w:p>
      <w:pPr>
        <w:spacing w:after="100" w:before="100"/>
      </w:pPr>
    </w:p>
    <w:p>
      <w:pPr>
        <w:pBdr>
          <w:bottom w:val="single" w:color="2E75B6" w:sz="4" w:space="6"/>
        </w:pBdr>
        <w:spacing w:after="200" w:before="400"/>
      </w:pPr>
      <w:r>
        <w:rPr>
          <w:rFonts w:ascii="Arial" w:cs="Arial" w:eastAsia="Arial" w:hAnsi="Arial"/>
          <w:b/>
          <w:bCs/>
          <w:color w:val="1B3A5C"/>
          <w:sz w:val="26"/>
          <w:szCs w:val="26"/>
        </w:rPr>
        <w:t xml:space="preserve">B1. PRODUCT OVERVIEW</w:t>
      </w:r>
    </w:p>
    <w:p>
      <w:pPr>
        <w:spacing w:after="60" w:before="60" w:line="300"/>
      </w:pPr>
      <w:r>
        <w:rPr>
          <w:rFonts w:ascii="Arial" w:cs="Arial" w:eastAsia="Arial" w:hAnsi="Arial"/>
          <w:color w:val="444444"/>
          <w:sz w:val="20"/>
          <w:szCs w:val="20"/>
        </w:rPr>
        <w:t xml:space="preserve">Admission OS is a web-based platform where MBA/Masters applicants complete an intake form, receive AI-generated strategic positioning, write application documents using guided templates, and receive multi-agent AI evaluation with scoring, logic validation, structural analysis, editing suggestions, and cross-application gap analysis.</w:t>
      </w:r>
    </w:p>
    <w:p>
      <w:pPr>
        <w:spacing w:after="60" w:before="60" w:line="300"/>
      </w:pPr>
      <w:r>
        <w:rPr>
          <w:rFonts w:ascii="Arial" w:cs="Arial" w:eastAsia="Arial" w:hAnsi="Arial"/>
          <w:color w:val="444444"/>
          <w:sz w:val="20"/>
          <w:szCs w:val="20"/>
        </w:rPr>
        <w:t xml:space="preserve">The product has 8 document modules, 7 specialized AI agents, a Narrative Anchor Object (NAO) as the shared intelligence layer, and a two-layer architecture (Scoring Layer for objective evaluation + Agent Layer for strategic intelligence).</w:t>
      </w:r>
    </w:p>
    <w:p>
      <w:pPr>
        <w:pBdr>
          <w:bottom w:val="single" w:color="2E75B6" w:sz="4" w:space="6"/>
        </w:pBdr>
        <w:spacing w:after="200" w:before="400"/>
      </w:pPr>
      <w:r>
        <w:rPr>
          <w:rFonts w:ascii="Arial" w:cs="Arial" w:eastAsia="Arial" w:hAnsi="Arial"/>
          <w:b/>
          <w:bCs/>
          <w:color w:val="1B3A5C"/>
          <w:sz w:val="26"/>
          <w:szCs w:val="26"/>
        </w:rPr>
        <w:t xml:space="preserve">B2.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37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Who they are</w:t>
            </w:r>
          </w:p>
        </w:tc>
        <w:tc>
          <w:tcPr>
            <w:tcW w:type="dxa" w:w="37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they can do</w:t>
            </w:r>
          </w:p>
        </w:tc>
      </w:tr>
      <w:tr>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Student (applicant)</w:t>
            </w:r>
          </w:p>
        </w:tc>
        <w:tc>
          <w:tcPr>
            <w:tcW w:type="dxa" w:w="37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The primary user. MBA/Masters applicant completing their application.</w:t>
            </w:r>
          </w:p>
        </w:tc>
        <w:tc>
          <w:tcPr>
            <w:tcW w:type="dxa" w:w="37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Complete intake, write documents, submit for evaluation, accept/reject rewrites, view scores and version history, book consulting sessions, view application health.</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Consultant</w:t>
            </w:r>
          </w:p>
        </w:tc>
        <w:tc>
          <w:tcPr>
            <w:tcW w:type="dxa" w:w="37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Sridhar or future consulting team members at Open Admits.</w:t>
            </w:r>
          </w:p>
        </w:tc>
        <w:tc>
          <w:tcPr>
            <w:tcW w:type="dxa" w:w="37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View student NAO + agent history pre-session, add session notes, view all student documents (read-only), access consultant dashboard.</w:t>
            </w:r>
          </w:p>
        </w:tc>
      </w:tr>
      <w:tr>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Admin (operator)</w:t>
            </w:r>
          </w:p>
        </w:tc>
        <w:tc>
          <w:tcPr>
            <w:tcW w:type="dxa" w:w="37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Brilworks engineering or Open Admits operations team.</w:t>
            </w:r>
          </w:p>
        </w:tc>
        <w:tc>
          <w:tcPr>
            <w:tcW w:type="dxa" w:w="378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Edit school configs, update rubrics, view observability dashboard (costs, latency, cache hit rates), manage users, override NAO fields.</w:t>
            </w:r>
          </w:p>
        </w:tc>
      </w:tr>
    </w:tbl>
    <w:p>
      <w:pPr>
        <w:pBdr>
          <w:bottom w:val="single" w:color="2E75B6" w:sz="4" w:space="6"/>
        </w:pBdr>
        <w:spacing w:after="200" w:before="400"/>
      </w:pPr>
      <w:r>
        <w:rPr>
          <w:rFonts w:ascii="Arial" w:cs="Arial" w:eastAsia="Arial" w:hAnsi="Arial"/>
          <w:b/>
          <w:bCs/>
          <w:color w:val="1B3A5C"/>
          <w:sz w:val="26"/>
          <w:szCs w:val="26"/>
        </w:rPr>
        <w:t xml:space="preserve">B3. DOCUMENT MODULES — FUNCTIONAL REQUIREMENTS</w:t>
      </w:r>
    </w:p>
    <w:p>
      <w:pPr>
        <w:spacing w:after="60" w:before="60" w:line="300"/>
      </w:pPr>
      <w:r>
        <w:rPr>
          <w:rFonts w:ascii="Arial" w:cs="Arial" w:eastAsia="Arial" w:hAnsi="Arial"/>
          <w:color w:val="444444"/>
          <w:sz w:val="20"/>
          <w:szCs w:val="20"/>
        </w:rPr>
        <w:t xml:space="preserve">Each of the 8 modules follows the same pattern: Video → Guided Template → Submit → Agent Evaluation → Results → Iterate. Module-specific differences are noted.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60"/>
        <w:gridCol w:w="3500"/>
      </w:tblGrid>
      <w:tr>
        <w:tc>
          <w:tcPr>
            <w:tcW w:type="dxa" w:w="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Functional requirements</w:t>
            </w:r>
          </w:p>
        </w:tc>
        <w:tc>
          <w:tcPr>
            <w:tcW w:type="dxa" w:w="3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UI/UX requirements</w:t>
            </w:r>
          </w:p>
        </w:tc>
      </w:tr>
      <w:tr>
        <w:tc>
          <w:tcPr>
            <w:tcW w:type="dxa" w:w="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M1</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Consultation Form</w:t>
            </w:r>
          </w:p>
        </w:tc>
        <w:tc>
          <w:tcPr>
            <w:tcW w:type="dxa" w:w="35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30-question structured intake across 5 sections (background, goals, programs, constraints, voice). Auto-save on every field. Progress bar. Save-and-resume. On submit: Strategy Agent processes and generates NAO v1 within 60 seconds.</w:t>
            </w:r>
          </w:p>
        </w:tc>
        <w:tc>
          <w:tcPr>
            <w:tcW w:type="dxa" w:w="3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Multi-step form with section tabs. Clear progress indicator. Helper text + examples per question. Voice recording option for story inventory questions. Completion animation before NAO reveal.</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M2</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Resume / CV</w:t>
            </w:r>
          </w:p>
        </w:tc>
        <w:tc>
          <w:tcPr>
            <w:tcW w:type="dxa" w:w="3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Upload PDF/DOCX or use guided template. Sections: contact, education, experience, leadership, additional. Bullet rewriter: paste any bullet, get 0–10 score + 2 stronger versions. Trajectory analyser: reads all roles together. One-page enforced for MBA.</w:t>
            </w:r>
          </w:p>
        </w:tc>
        <w:tc>
          <w:tcPr>
            <w:tcW w:type="dxa" w:w="3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Split-screen: resume on left, agent feedback on right. Drag-and-drop section reorder. Real-time word count. Bullet rewriter as inline popover — select a bullet, click “Rewrite,” see 2 options in-place.</w:t>
            </w:r>
          </w:p>
        </w:tc>
      </w:tr>
      <w:tr>
        <w:tc>
          <w:tcPr>
            <w:tcW w:type="dxa" w:w="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M3</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Personal Essays</w:t>
            </w:r>
          </w:p>
        </w:tc>
        <w:tc>
          <w:tcPr>
            <w:tcW w:type="dxa" w:w="35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7 archetypes: Goals, Leadership, Failure, Values, Contribution, Behavioral, Why School. Each uses Context/Conflict/Action/Impact guided template. Word count per section. Story bank tracking — which story used where.</w:t>
            </w:r>
          </w:p>
        </w:tc>
        <w:tc>
          <w:tcPr>
            <w:tcW w:type="dxa" w:w="3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TipTap editor with custom marks for agent annotations. Section tabs for 4 layers. Inline highlighting for agent feedback (red = issue, green = strong). Accept/reject rewrite buttons inline. Story bank sidebar showing allocation map.</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M4</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School-Specific Essays</w:t>
            </w:r>
          </w:p>
        </w:tc>
        <w:tc>
          <w:tcPr>
            <w:tcW w:type="dxa" w:w="3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Pre-loaded prompts per school from admin configs. Different rubric weights per school. Cross-school comparison: same essay scored against all target schools. Differentiation engine flags reuse.</w:t>
            </w:r>
          </w:p>
        </w:tc>
        <w:tc>
          <w:tcPr>
            <w:tcW w:type="dxa" w:w="3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School selector dropdown loads prompt + rubric automatically. Heatmap comparison view — colour-coded grid of school x dimension scores. Differentiation alerts as banner notifications.</w:t>
            </w:r>
          </w:p>
        </w:tc>
      </w:tr>
      <w:tr>
        <w:tc>
          <w:tcPr>
            <w:tcW w:type="dxa" w:w="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M5</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Rec Letters</w:t>
            </w:r>
          </w:p>
        </w:tc>
        <w:tc>
          <w:tcPr>
            <w:tcW w:type="dxa" w:w="35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Two sub-flows: (a) Recommender selection guide with scoring checklist, (b) Briefing document template auto-populated from NAO. After recommender writes letter, student pastes it for AI evaluation. Story alignment checker cross-references essays.</w:t>
            </w:r>
          </w:p>
        </w:tc>
        <w:tc>
          <w:tcPr>
            <w:tcW w:type="dxa" w:w="3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Recommender profile cards with fit score. Briefing doc as printable/downloadable template. Pasted rec letter evaluation in same results UI as essays.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M6</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Scholarship</w:t>
            </w:r>
          </w:p>
        </w:tc>
        <w:tc>
          <w:tcPr>
            <w:tcW w:type="dxa" w:w="3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Independent rubric (different audience: scholarship committee, not admissions). Templates vary by type: Merit, Need, Leadership. Separate deadline tracking. MBA essay reuse flagged.</w:t>
            </w:r>
          </w:p>
        </w:tc>
        <w:tc>
          <w:tcPr>
            <w:tcW w:type="dxa" w:w="3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Scholarship module clearly branded differently from essay modules (visual separator). Deadline countdown badges per scholarship. Reuse warning as inline banner.</w:t>
            </w:r>
          </w:p>
        </w:tc>
      </w:tr>
      <w:tr>
        <w:tc>
          <w:tcPr>
            <w:tcW w:type="dxa" w:w="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M7</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Transcripts &amp; Scores</w:t>
            </w:r>
          </w:p>
        </w:tc>
        <w:tc>
          <w:tcPr>
            <w:tcW w:type="dxa" w:w="35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Score entry form with school medians as reference. Competitiveness matrix: traffic-light per school (Strong/Borderline/Reach). Low-score strategy module auto-triggers. GMAT waiver argument generator for qualifying schools.</w:t>
            </w:r>
          </w:p>
        </w:tc>
        <w:tc>
          <w:tcPr>
            <w:tcW w:type="dxa" w:w="3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Visual competitiveness matrix — coloured grid, school x score dimension. Waiver letter as downloadable PDF. Score trend chart if multiple attempts.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M8</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Interview Prep</w:t>
            </w:r>
          </w:p>
        </w:tc>
        <w:tc>
          <w:tcPr>
            <w:tcW w:type="dxa" w:w="3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School-specific question bank. AI mock: text or voice (Whisper transcription). Per-question scoring on 4 dimensions. Essay consistency checker: flags contradictions between interview answers and submitted essays.</w:t>
            </w:r>
          </w:p>
        </w:tc>
        <w:tc>
          <w:tcPr>
            <w:tcW w:type="dxa" w:w="3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Question bank as card deck — flip to reveal model answer. Voice recorder with waveform visualiser. Consistency alerts as side-by-side comparison panels.</w:t>
            </w:r>
          </w:p>
        </w:tc>
      </w:tr>
      <w:tr>
        <w:tc>
          <w:tcPr>
            <w:tcW w:type="dxa" w:w="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M9</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Cross-Doc Intelligence</w:t>
            </w:r>
          </w:p>
        </w:tc>
        <w:tc>
          <w:tcPr>
            <w:tcW w:type="dxa" w:w="35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Student-facing dashboard: narrative consistency status, story bank allocation map, application health score, per-school readiness. Triggers Gap Agent after 2+ documents complete.</w:t>
            </w:r>
          </w:p>
        </w:tc>
        <w:tc>
          <w:tcPr>
            <w:tcW w:type="dxa" w:w="35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Dashboard with progress ring (X of Y docs complete). Story bank as visual map — stories on left, essay types on right, lines connecting assignments. Health score as prominent metric card.</w:t>
            </w:r>
          </w:p>
        </w:tc>
      </w:tr>
    </w:tbl>
    <w:p>
      <w:r>
        <w:br w:type="page"/>
      </w:r>
    </w:p>
    <w:p>
      <w:pPr>
        <w:pBdr>
          <w:bottom w:val="single" w:color="2E75B6" w:sz="4" w:space="6"/>
        </w:pBdr>
        <w:spacing w:after="200" w:before="400"/>
      </w:pPr>
      <w:r>
        <w:rPr>
          <w:rFonts w:ascii="Arial" w:cs="Arial" w:eastAsia="Arial" w:hAnsi="Arial"/>
          <w:b/>
          <w:bCs/>
          <w:color w:val="1B3A5C"/>
          <w:sz w:val="26"/>
          <w:szCs w:val="26"/>
        </w:rPr>
        <w:t xml:space="preserve">B4. AGENT PIPELINE — PRODUCT BEHAVIOUR</w:t>
      </w:r>
    </w:p>
    <w:p>
      <w:pPr>
        <w:spacing w:after="60" w:before="60" w:line="300"/>
      </w:pPr>
      <w:r>
        <w:rPr>
          <w:rFonts w:ascii="Arial" w:cs="Arial" w:eastAsia="Arial" w:hAnsi="Arial"/>
          <w:color w:val="444444"/>
          <w:sz w:val="20"/>
          <w:szCs w:val="20"/>
        </w:rPr>
        <w:t xml:space="preserve">When a student clicks “Evaluate,” the following pipeline runs. The student sees a single, unified results screen. They do NOT see individual agent outputs — the system combines all outputs into a cohesive experience.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160"/>
        <w:gridCol w:w="3600"/>
      </w:tblGrid>
      <w:tr>
        <w:tc>
          <w:tcPr>
            <w:tcW w:type="dxa" w:w="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3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student sees</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UI element</w:t>
            </w:r>
          </w:p>
        </w:tc>
      </w:tr>
      <w:tr>
        <w:tc>
          <w:tcPr>
            <w:tcW w:type="dxa" w:w="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1</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Progress indicator</w:t>
            </w:r>
          </w:p>
        </w:tc>
        <w:tc>
          <w:tcPr>
            <w:tcW w:type="dxa" w:w="3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"Analysing your essay..." with agent icons lighting up sequentially: Strategy → Scoring → Framework → Architect → Advisor → Editing → Gap</w:t>
            </w:r>
          </w:p>
        </w:tc>
        <w:tc>
          <w:tcPr>
            <w:tcW w:type="dxa" w:w="36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Horizontal progress bar with agent avatars. Each lights up as that agent completes. Total time shown: “Estimated 15–20 seconds.”</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Scores panel</w:t>
            </w:r>
          </w:p>
        </w:tc>
        <w:tc>
          <w:tcPr>
            <w:tcW w:type="dxa" w:w="3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Dimension scores: Leadership 4/10, Impact 6/10, School Fit 3/10, etc. Total score /100. Delta from previous draft if applicable.</w:t>
            </w:r>
          </w:p>
        </w:tc>
        <w:tc>
          <w:tcPr>
            <w:tcW w:type="dxa" w:w="3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Left sidebar of results screen. Bar chart per dimension with colour coding (red &lt; 5, amber 5–7, green &gt; 7). Score trajectory graph if draft 2+.</w:t>
            </w:r>
          </w:p>
        </w:tc>
      </w:tr>
      <w:tr>
        <w:tc>
          <w:tcPr>
            <w:tcW w:type="dxa" w:w="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3</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Challenges panel</w:t>
            </w:r>
          </w:p>
        </w:tc>
        <w:tc>
          <w:tcPr>
            <w:tcW w:type="dxa" w:w="3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Framework Agent challenges: severity badges, what’s wrong, why it matters, how to fix. If critical challenges exist: “Address these issues before proceeding” banner.</w:t>
            </w:r>
          </w:p>
        </w:tc>
        <w:tc>
          <w:tcPr>
            <w:tcW w:type="dxa" w:w="36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Centre panel. Each challenge as expandable card. Critical = red left border. Major = amber. Minor = grey. Suggested fix shown on expand.</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Structure panel</w:t>
            </w:r>
          </w:p>
        </w:tc>
        <w:tc>
          <w:tcPr>
            <w:tcW w:type="dxa" w:w="3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4-layer balance visualisation (Context %, Conflict %, Action %, Impact %). Restructuring directives as actionable cards.</w:t>
            </w:r>
          </w:p>
        </w:tc>
        <w:tc>
          <w:tcPr>
            <w:tcW w:type="dxa" w:w="3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Visual bar showing layer proportions with target zone highlighted. Each directive has Accept/Reject buttons. Accepted directives apply to the draft.</w:t>
            </w:r>
          </w:p>
        </w:tc>
      </w:tr>
      <w:tr>
        <w:tc>
          <w:tcPr>
            <w:tcW w:type="dxa" w:w="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5</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Priorities panel</w:t>
            </w:r>
          </w:p>
        </w:tc>
        <w:tc>
          <w:tcPr>
            <w:tcW w:type="dxa" w:w="3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Strategic Advisor’s top 3 priorities, 2 competitive risks, rewrite blueprint summary.</w:t>
            </w:r>
          </w:p>
        </w:tc>
        <w:tc>
          <w:tcPr>
            <w:tcW w:type="dxa" w:w="36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Compact card at top of centre panel. Numbered priorities. Risks as amber callouts. Read-only — student uses this to understand the rewrite focus.</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Rewrites panel</w:t>
            </w:r>
          </w:p>
        </w:tc>
        <w:tc>
          <w:tcPr>
            <w:tcW w:type="dxa" w:w="3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For each weak section: original text, Option A, Option B. Each with reasoning. Accept A / Accept B / Keep Original buttons.</w:t>
            </w:r>
          </w:p>
        </w:tc>
        <w:tc>
          <w:tcPr>
            <w:tcW w:type="dxa" w:w="3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Right sidebar or below-fold panel. Side-by-side comparison. Accepted rewrite auto-applies in the TipTap editor with tracked changes style.</w:t>
            </w:r>
          </w:p>
        </w:tc>
      </w:tr>
      <w:tr>
        <w:tc>
          <w:tcPr>
            <w:tcW w:type="dxa" w:w="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7</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Next actions</w:t>
            </w:r>
          </w:p>
        </w:tc>
        <w:tc>
          <w:tcPr>
            <w:tcW w:type="dxa" w:w="3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Gap Agent’s prioritised next actions (after 2+ documents). Application health score. Contradictions found.</w:t>
            </w:r>
          </w:p>
        </w:tc>
        <w:tc>
          <w:tcPr>
            <w:tcW w:type="dxa" w:w="36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Bottom panel. Priority-numbered action cards. Health score as large metric. Contradictions as alert banners with links to the conflicting documents.</w:t>
            </w:r>
          </w:p>
        </w:tc>
      </w:tr>
    </w:tbl>
    <w:p>
      <w:pPr>
        <w:pBdr>
          <w:bottom w:val="single" w:color="2E75B6" w:sz="4" w:space="6"/>
        </w:pBdr>
        <w:spacing w:after="200" w:before="400"/>
      </w:pPr>
      <w:r>
        <w:rPr>
          <w:rFonts w:ascii="Arial" w:cs="Arial" w:eastAsia="Arial" w:hAnsi="Arial"/>
          <w:b/>
          <w:bCs/>
          <w:color w:val="1B3A5C"/>
          <w:sz w:val="26"/>
          <w:szCs w:val="26"/>
        </w:rPr>
        <w:t xml:space="preserve">B5. UI/UX DESIGN PRINCIPLES</w:t>
      </w:r>
    </w:p>
    <w:p>
      <w:pPr>
        <w:pStyle w:val="ListParagraph"/>
        <w:numPr>
          <w:ilvl w:val="0"/>
          <w:numId w:val="2"/>
        </w:numPr>
        <w:spacing w:after="50" w:before="50" w:line="280"/>
      </w:pPr>
      <w:r>
        <w:rPr>
          <w:rFonts w:ascii="Arial" w:cs="Arial" w:eastAsia="Arial" w:hAnsi="Arial"/>
          <w:b/>
          <w:bCs/>
          <w:color w:val="333333"/>
          <w:sz w:val="19"/>
          <w:szCs w:val="19"/>
        </w:rPr>
        <w:t xml:space="preserve">Calm and structured: </w:t>
      </w:r>
      <w:r>
        <w:rPr>
          <w:rFonts w:ascii="Arial" w:cs="Arial" w:eastAsia="Arial" w:hAnsi="Arial"/>
          <w:color w:val="444444"/>
          <w:sz w:val="19"/>
          <w:szCs w:val="19"/>
        </w:rPr>
        <w:t xml:space="preserve">The student is anxious about their application. The UI should feel like a calm, professional consulting office — not a flashy tech product. Muted colours, generous white space, clear typography.</w:t>
      </w:r>
    </w:p>
    <w:p>
      <w:pPr>
        <w:pStyle w:val="ListParagraph"/>
        <w:numPr>
          <w:ilvl w:val="0"/>
          <w:numId w:val="2"/>
        </w:numPr>
        <w:spacing w:after="50" w:before="50" w:line="280"/>
      </w:pPr>
      <w:r>
        <w:rPr>
          <w:rFonts w:ascii="Arial" w:cs="Arial" w:eastAsia="Arial" w:hAnsi="Arial"/>
          <w:b/>
          <w:bCs/>
          <w:color w:val="333333"/>
          <w:sz w:val="19"/>
          <w:szCs w:val="19"/>
        </w:rPr>
        <w:t xml:space="preserve">Progressive disclosure: </w:t>
      </w:r>
      <w:r>
        <w:rPr>
          <w:rFonts w:ascii="Arial" w:cs="Arial" w:eastAsia="Arial" w:hAnsi="Arial"/>
          <w:color w:val="444444"/>
          <w:sz w:val="19"/>
          <w:szCs w:val="19"/>
        </w:rPr>
        <w:t xml:space="preserve">Show only what’s relevant at each step. Don’t overwhelm with all 8 modules on first login. Guide the student through: Consultation first → modules unlock after NAO.</w:t>
      </w:r>
    </w:p>
    <w:p>
      <w:pPr>
        <w:pStyle w:val="ListParagraph"/>
        <w:numPr>
          <w:ilvl w:val="0"/>
          <w:numId w:val="2"/>
        </w:numPr>
        <w:spacing w:after="50" w:before="50" w:line="280"/>
      </w:pPr>
      <w:r>
        <w:rPr>
          <w:rFonts w:ascii="Arial" w:cs="Arial" w:eastAsia="Arial" w:hAnsi="Arial"/>
          <w:b/>
          <w:bCs/>
          <w:color w:val="333333"/>
          <w:sz w:val="19"/>
          <w:szCs w:val="19"/>
        </w:rPr>
        <w:t xml:space="preserve">Agent personality without theatre: </w:t>
      </w:r>
      <w:r>
        <w:rPr>
          <w:rFonts w:ascii="Arial" w:cs="Arial" w:eastAsia="Arial" w:hAnsi="Arial"/>
          <w:color w:val="444444"/>
          <w:sz w:val="19"/>
          <w:szCs w:val="19"/>
        </w:rPr>
        <w:t xml:space="preserve">Each agent’s feedback should feel distinct (Framework Agent is direct and challenging; Editing Agent is supportive and voice-aware) but the UI should not gamify or anthropomorphise the agents. No cartoon avatars. No chat bubbles. Professional annotations.</w:t>
      </w:r>
    </w:p>
    <w:p>
      <w:pPr>
        <w:pStyle w:val="ListParagraph"/>
        <w:numPr>
          <w:ilvl w:val="0"/>
          <w:numId w:val="2"/>
        </w:numPr>
        <w:spacing w:after="50" w:before="50" w:line="280"/>
      </w:pPr>
      <w:r>
        <w:rPr>
          <w:rFonts w:ascii="Arial" w:cs="Arial" w:eastAsia="Arial" w:hAnsi="Arial"/>
          <w:b/>
          <w:bCs/>
          <w:color w:val="333333"/>
          <w:sz w:val="19"/>
          <w:szCs w:val="19"/>
        </w:rPr>
        <w:t xml:space="preserve">Mobile-readable, desktop-writable: </w:t>
      </w:r>
      <w:r>
        <w:rPr>
          <w:rFonts w:ascii="Arial" w:cs="Arial" w:eastAsia="Arial" w:hAnsi="Arial"/>
          <w:color w:val="444444"/>
          <w:sz w:val="19"/>
          <w:szCs w:val="19"/>
        </w:rPr>
        <w:t xml:space="preserve">Dashboard, scores, and feedback should render well on mobile. Writing and editing are desktop experiences. The TipTap editor targets 1024px+ screens.</w:t>
      </w:r>
    </w:p>
    <w:p>
      <w:pPr>
        <w:pStyle w:val="ListParagraph"/>
        <w:numPr>
          <w:ilvl w:val="0"/>
          <w:numId w:val="2"/>
        </w:numPr>
        <w:spacing w:after="50" w:before="50" w:line="280"/>
      </w:pPr>
      <w:r>
        <w:rPr>
          <w:rFonts w:ascii="Arial" w:cs="Arial" w:eastAsia="Arial" w:hAnsi="Arial"/>
          <w:b/>
          <w:bCs/>
          <w:color w:val="333333"/>
          <w:sz w:val="19"/>
          <w:szCs w:val="19"/>
        </w:rPr>
        <w:t xml:space="preserve">Speed feedback: </w:t>
      </w:r>
      <w:r>
        <w:rPr>
          <w:rFonts w:ascii="Arial" w:cs="Arial" w:eastAsia="Arial" w:hAnsi="Arial"/>
          <w:color w:val="444444"/>
          <w:sz w:val="19"/>
          <w:szCs w:val="19"/>
        </w:rPr>
        <w:t xml:space="preserve">If processing takes 15–20 seconds, show progress. If a foreground agent responds in 1.2 seconds, show inline annotations immediately. Never leave the student staring at a spinner without context.</w:t>
      </w:r>
    </w:p>
    <w:p>
      <w:pPr>
        <w:pStyle w:val="ListParagraph"/>
        <w:numPr>
          <w:ilvl w:val="0"/>
          <w:numId w:val="2"/>
        </w:numPr>
        <w:spacing w:after="50" w:before="50" w:line="280"/>
      </w:pPr>
      <w:r>
        <w:rPr>
          <w:rFonts w:ascii="Arial" w:cs="Arial" w:eastAsia="Arial" w:hAnsi="Arial"/>
          <w:b/>
          <w:bCs/>
          <w:color w:val="333333"/>
          <w:sz w:val="19"/>
          <w:szCs w:val="19"/>
        </w:rPr>
        <w:t xml:space="preserve">Tier awareness: </w:t>
      </w:r>
      <w:r>
        <w:rPr>
          <w:rFonts w:ascii="Arial" w:cs="Arial" w:eastAsia="Arial" w:hAnsi="Arial"/>
          <w:color w:val="444444"/>
          <w:sz w:val="19"/>
          <w:szCs w:val="19"/>
        </w:rPr>
        <w:t xml:space="preserve">Locked features show as greyed-out with upgrade CTA, not hidden. Student should see what they’re missing on the free/core tier to drive upgrades.</w:t>
      </w:r>
    </w:p>
    <w:p>
      <w:pPr>
        <w:pBdr>
          <w:bottom w:val="single" w:color="2E75B6" w:sz="4" w:space="6"/>
        </w:pBdr>
        <w:spacing w:after="200" w:before="400"/>
      </w:pPr>
      <w:r>
        <w:rPr>
          <w:rFonts w:ascii="Arial" w:cs="Arial" w:eastAsia="Arial" w:hAnsi="Arial"/>
          <w:b/>
          <w:bCs/>
          <w:color w:val="1B3A5C"/>
          <w:sz w:val="26"/>
          <w:szCs w:val="26"/>
        </w:rPr>
        <w:t xml:space="preserve">B6. KEY UI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Screen</w:t>
            </w:r>
          </w:p>
        </w:tc>
        <w:tc>
          <w:tcPr>
            <w:tcW w:type="dxa" w:w="6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Requirements</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Landing / marketing page</w:t>
            </w:r>
          </w:p>
        </w:tc>
        <w:tc>
          <w:tcPr>
            <w:tcW w:type="dxa" w:w="69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Value proposition, pricing tiers with feature comparison, sample evaluation output, success stats from Open Admits (130+ admits, $7M scholarships). CTA: “Start free” or “Get full access.”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Dashboard (home)</w:t>
            </w:r>
          </w:p>
        </w:tc>
        <w:tc>
          <w:tcPr>
            <w:tcW w:type="dxa" w:w="69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Module grid showing completion status per module. Progress ring for overall application health. NAO summary card. Recommended next action prominently displayed. Locked modules greyed with upgrade CTA.</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Consultation form</w:t>
            </w:r>
          </w:p>
        </w:tc>
        <w:tc>
          <w:tcPr>
            <w:tcW w:type="dxa" w:w="69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Multi-step wizard with section tabs. Progress bar. Auto-save indicator. Helper text and examples per question. Voice recording option for story inventory. Submit button triggers Strategy Agent.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NAO results</w:t>
            </w:r>
          </w:p>
        </w:tc>
        <w:tc>
          <w:tcPr>
            <w:tcW w:type="dxa" w:w="69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Full-page NAO display: positioning statement (hero), narrative thread, differentiators (cards), school fit mapping (table), goal bridge (visual chain), gaps (alert cards), story map (visual allocation). PDF download button.</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TipTap essay editor</w:t>
            </w:r>
          </w:p>
        </w:tc>
        <w:tc>
          <w:tcPr>
            <w:tcW w:type="dxa" w:w="69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Full-width editor with section tabs (Context/Conflict/Action/Impact). Word count per section + total. Agent annotation marks (inline highlights). Accept/reject rewrite buttons. “Evaluate” button triggers pipeline. “Deep review” for on-demand pipeline.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Evaluation results</w:t>
            </w:r>
          </w:p>
        </w:tc>
        <w:tc>
          <w:tcPr>
            <w:tcW w:type="dxa" w:w="69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Unified results screen combining all agent outputs: scores (left), challenges (centre), structure (centre-bottom), rewrites (right), next actions (bottom). Score delta if draft 2+.</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Version history</w:t>
            </w:r>
          </w:p>
        </w:tc>
        <w:tc>
          <w:tcPr>
            <w:tcW w:type="dxa" w:w="69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Draft list with scores and timestamps. Side-by-side diff view between any two drafts. Score trajectory chart. Momentum label.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School comparison</w:t>
            </w:r>
          </w:p>
        </w:tc>
        <w:tc>
          <w:tcPr>
            <w:tcW w:type="dxa" w:w="69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Heatmap grid: schools (columns) x dimensions (rows). Colour-coded cells. Per-school fit score. Differentiation suggestions as expandable cards below the grid.</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Cross-doc dashboard</w:t>
            </w:r>
          </w:p>
        </w:tc>
        <w:tc>
          <w:tcPr>
            <w:tcW w:type="dxa" w:w="69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Application health score. Story bank visual map. Narrative consistency status (green/amber/red). Per-school readiness indicators. Gap Agent’s latest next actions.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Consultant booking</w:t>
            </w:r>
          </w:p>
        </w:tc>
        <w:tc>
          <w:tcPr>
            <w:tcW w:type="dxa" w:w="69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Session type cards with pricing. Cal.com embedded calendar. Pre-brief preview showing what the consultant will see. Confirmation + reminder flow.</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9"/>
                <w:szCs w:val="19"/>
              </w:rPr>
              <w:t xml:space="preserve">Admin / inspector</w:t>
            </w:r>
          </w:p>
        </w:tc>
        <w:tc>
          <w:tcPr>
            <w:tcW w:type="dxa" w:w="69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Per-user cost trends. Cache hit rates per agent. Latency p95 per agent. School config editor. Rubric editor. User management.</w:t>
            </w:r>
          </w:p>
        </w:tc>
      </w:tr>
    </w:tbl>
    <w:p>
      <w:r>
        <w:br w:type="page"/>
      </w:r>
    </w:p>
    <w:p>
      <w:pPr>
        <w:spacing w:after="200" w:before="100"/>
      </w:pPr>
      <w:r>
        <w:rPr>
          <w:rFonts w:ascii="Arial" w:cs="Arial" w:eastAsia="Arial" w:hAnsi="Arial"/>
          <w:b/>
          <w:bCs/>
          <w:color w:val="1B3A5C"/>
          <w:sz w:val="30"/>
          <w:szCs w:val="30"/>
        </w:rPr>
        <w:t xml:space="preserve">PART C: TECHNICAL REQUIREMENTS DOCUMENT (TRD)</w:t>
      </w:r>
    </w:p>
    <w:p>
      <w:pPr>
        <w:pBdr>
          <w:bottom w:val="single" w:color="2E75B6" w:sz="6" w:space="1"/>
        </w:pBdr>
      </w:pPr>
    </w:p>
    <w:p>
      <w:pPr>
        <w:spacing w:after="100" w:before="100"/>
      </w:pPr>
    </w:p>
    <w:p>
      <w:pPr>
        <w:pBdr>
          <w:bottom w:val="single" w:color="2E75B6" w:sz="4" w:space="6"/>
        </w:pBdr>
        <w:spacing w:after="200" w:before="400"/>
      </w:pPr>
      <w:r>
        <w:rPr>
          <w:rFonts w:ascii="Arial" w:cs="Arial" w:eastAsia="Arial" w:hAnsi="Arial"/>
          <w:b/>
          <w:bCs/>
          <w:color w:val="1B3A5C"/>
          <w:sz w:val="26"/>
          <w:szCs w:val="26"/>
        </w:rPr>
        <w:t xml:space="preserve">C1. TECHNOLOGY STACK</w:t>
      </w:r>
    </w:p>
    <w:p>
      <w:pPr>
        <w:pBdr>
          <w:left w:val="single" w:color="7B1FA2" w:sz="12" w:space="8"/>
        </w:pBdr>
        <w:shd w:fill="F3E5F5" w:val="clear"/>
        <w:spacing w:after="80" w:before="80" w:line="300"/>
        <w:ind w:left="200" w:right="200"/>
      </w:pPr>
      <w:r>
        <w:rPr>
          <w:rFonts w:ascii="Arial" w:cs="Arial" w:eastAsia="Arial" w:hAnsi="Arial"/>
          <w:i/>
          <w:iCs/>
          <w:color w:val="4A148C"/>
          <w:sz w:val="19"/>
          <w:szCs w:val="19"/>
        </w:rPr>
        <w:t xml:space="preserve">Key change from earlier versions: The AI provider is now Google Gemini API instead of Anthropic Claude API. This document specifies all agent implementations using Gemini 2.5 Flash and Gemini 2.5 Pro. The architecture is provider-agnostic — the agent abstraction layer supports swapping models without changing agent logic.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 notes</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Next.js 14</w:t>
            </w:r>
          </w:p>
        </w:tc>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App framework</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App Router with Server Components for SSR pages. API Routes for all AI calls (never expose API keys to client). Dynamic routing for /documents/[type]/[id]. Middleware for auth + tier gating.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Google Gemini API</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AI agent engine</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Gemini 2.5 Flash for foreground agents (fast, cheap). Gemini 2.5 Pro for on-demand agents (higher quality). All calls via @google/generative-ai SDK. Structured output (JSON mode) for all agent responses. System instructions for agent role definitions.</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Whisper API (OpenAI)</w:t>
            </w:r>
          </w:p>
        </w:tc>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Voice-to-text</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Browser mic → Whisper → text for voice-to-draft and interview transcription. Called from Next.js API route, never client-side.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TipTap</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Rich text editor</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Custom extensions for: agent annotation marks (inline highlights), accept/reject rewrite UI, section-based editing (Context/Conflict/Action/Impact tabs), word count per section.</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Recharts</w:t>
            </w:r>
          </w:p>
        </w:tc>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Data visualisation</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Score trajectory charts. Dimension bar charts. School comparison heatmaps. Application health progress rings.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Supabase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Auth + DB + edge functions</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PostgreSQL with Row Level Security. Edge functions for agent pipeline execution (server-side). Auth via email + Google OAuth. Real-time subscriptions for evaluation progress updates.</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Upstash Redis</w:t>
            </w:r>
          </w:p>
        </w:tc>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Config caching</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Cache school configs, rubric data, jargon lexicons, and agent instruction blocks. TTL: 5 min for on-demand, 1 hour for foreground. Eliminates repeat DB reads.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Stripe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Payments</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One-time tier purchases via Checkout. Webhook handling for subscription lifecycle. Tier stored in Supabase user record. All feature gates checked server-side.</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Cal.com</w:t>
            </w:r>
          </w:p>
        </w:tc>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Session booking</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Embedded booking widget. Auto-populates NAO context in consultant view. Webhook for session confirmation + reminder emails.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Vercel</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Deployment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Next.js deployment with edge runtime. Global CDN. Environment-per-branch strategy. Preview deploys on PR.</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Sentry</w:t>
            </w:r>
          </w:p>
        </w:tc>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Error tracking</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Source maps configured. Structured error context includes: user_id, agent_name, document_id. Alert on agent timeout or API error spikes.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Email (Resend)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8"/>
                <w:szCs w:val="18"/>
              </w:rPr>
              <w:t xml:space="preserve">Transactional email</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Signup verification, booking confirmations, evaluation complete notifications, deadline reminders. React Email templates.</w:t>
            </w:r>
          </w:p>
        </w:tc>
      </w:tr>
    </w:tbl>
    <w:p>
      <w:pPr>
        <w:pBdr>
          <w:bottom w:val="single" w:color="2E75B6" w:sz="4" w:space="6"/>
        </w:pBdr>
        <w:spacing w:after="200" w:before="400"/>
      </w:pPr>
      <w:r>
        <w:rPr>
          <w:rFonts w:ascii="Arial" w:cs="Arial" w:eastAsia="Arial" w:hAnsi="Arial"/>
          <w:b/>
          <w:bCs/>
          <w:color w:val="1B3A5C"/>
          <w:sz w:val="26"/>
          <w:szCs w:val="26"/>
        </w:rPr>
        <w:t xml:space="preserve">C2. GEMINI API INTEGRATION — AGENT IMPLEMENTATION</w:t>
      </w:r>
    </w:p>
    <w:p>
      <w:pPr>
        <w:spacing w:after="60" w:before="60" w:line="300"/>
      </w:pPr>
      <w:r>
        <w:rPr>
          <w:rFonts w:ascii="Arial" w:cs="Arial" w:eastAsia="Arial" w:hAnsi="Arial"/>
          <w:color w:val="444444"/>
          <w:sz w:val="20"/>
          <w:szCs w:val="20"/>
        </w:rPr>
        <w:t xml:space="preserve">All agents use the Google Gemini API via the @google/generative-ai Node.js SDK. Each agent is implemented as a TypeScript module with a standardised interface.</w:t>
      </w:r>
    </w:p>
    <w:p>
      <w:pPr>
        <w:spacing w:after="40" w:before="40"/>
      </w:pPr>
    </w:p>
    <w:p>
      <w:pPr>
        <w:spacing w:after="140" w:before="280"/>
      </w:pPr>
      <w:r>
        <w:rPr>
          <w:rFonts w:ascii="Arial" w:cs="Arial" w:eastAsia="Arial" w:hAnsi="Arial"/>
          <w:b/>
          <w:bCs/>
          <w:color w:val="2E75B6"/>
          <w:sz w:val="22"/>
          <w:szCs w:val="22"/>
        </w:rPr>
        <w:t xml:space="preserve">C2.1 Agent abstraction layer</w:t>
      </w:r>
    </w:p>
    <w:p>
      <w:pPr>
        <w:spacing w:after="60" w:before="60" w:line="300"/>
      </w:pPr>
      <w:r>
        <w:rPr>
          <w:rFonts w:ascii="Arial" w:cs="Arial" w:eastAsia="Arial" w:hAnsi="Arial"/>
          <w:color w:val="444444"/>
          <w:sz w:val="20"/>
          <w:szCs w:val="20"/>
        </w:rPr>
        <w:t xml:space="preserve">Every agent implements the same interface. This ensures any agent can be swapped between Gemini Flash (fast/cheap) and Gemini Pro (higher quality) without changing calling code.</w:t>
      </w:r>
    </w:p>
    <w:p>
      <w:pPr>
        <w:spacing w:after="20" w:before="20"/>
      </w:pPr>
    </w:p>
    <w:p>
      <w:pPr>
        <w:pBdr>
          <w:left w:val="single" w:color="7B1FA2" w:sz="12" w:space="8"/>
        </w:pBdr>
        <w:shd w:fill="F3E5F5" w:val="clear"/>
        <w:spacing w:after="80" w:before="80" w:line="300"/>
        <w:ind w:left="200" w:right="200"/>
      </w:pPr>
      <w:r>
        <w:rPr>
          <w:rFonts w:ascii="Arial" w:cs="Arial" w:eastAsia="Arial" w:hAnsi="Arial"/>
          <w:i/>
          <w:iCs/>
          <w:color w:val="4A148C"/>
          <w:sz w:val="19"/>
          <w:szCs w:val="19"/>
        </w:rPr>
        <w:t xml:space="preserve">Interface: AgentConfig { agentId: string; model: 'gemini-2.5-flash' | 'gemini-2.5-pro'; systemInstruction: string; responseSchema: JSONSchema; temperature: number; maxOutputTokens: number; cachedInstructionKey?: string; }</w:t>
      </w:r>
    </w:p>
    <w:p>
      <w:pPr>
        <w:spacing w:after="20" w:before="20"/>
      </w:pPr>
    </w:p>
    <w:p>
      <w:pPr>
        <w:pBdr>
          <w:left w:val="single" w:color="7B1FA2" w:sz="12" w:space="8"/>
        </w:pBdr>
        <w:shd w:fill="F3E5F5" w:val="clear"/>
        <w:spacing w:after="80" w:before="80" w:line="300"/>
        <w:ind w:left="200" w:right="200"/>
      </w:pPr>
      <w:r>
        <w:rPr>
          <w:rFonts w:ascii="Arial" w:cs="Arial" w:eastAsia="Arial" w:hAnsi="Arial"/>
          <w:i/>
          <w:iCs/>
          <w:color w:val="4A148C"/>
          <w:sz w:val="19"/>
          <w:szCs w:val="19"/>
        </w:rPr>
        <w:t xml:space="preserve">Interface: AgentInput { nao: NAO; documentText?: string; documentType?: DocumentType; targetSchool?: string; scoringResults?: ScoringResult; agentMemory?: AgentMemory[]; schoolConfig?: SchoolConfig; }</w:t>
      </w:r>
    </w:p>
    <w:p>
      <w:pPr>
        <w:spacing w:after="20" w:before="20"/>
      </w:pPr>
    </w:p>
    <w:p>
      <w:pPr>
        <w:pBdr>
          <w:left w:val="single" w:color="7B1FA2" w:sz="12" w:space="8"/>
        </w:pBdr>
        <w:shd w:fill="F3E5F5" w:val="clear"/>
        <w:spacing w:after="80" w:before="80" w:line="300"/>
        <w:ind w:left="200" w:right="200"/>
      </w:pPr>
      <w:r>
        <w:rPr>
          <w:rFonts w:ascii="Arial" w:cs="Arial" w:eastAsia="Arial" w:hAnsi="Arial"/>
          <w:i/>
          <w:iCs/>
          <w:color w:val="4A148C"/>
          <w:sz w:val="19"/>
          <w:szCs w:val="19"/>
        </w:rPr>
        <w:t xml:space="preserve">Interface: AgentOutput { agentId: string; output: Record&lt;string, any&gt;; tokensUsed: { input: number; output: number; cachedInput?: number }; latencyMs: number; model: string; }</w:t>
      </w:r>
    </w:p>
    <w:p>
      <w:pPr>
        <w:spacing w:after="140" w:before="280"/>
      </w:pPr>
      <w:r>
        <w:rPr>
          <w:rFonts w:ascii="Arial" w:cs="Arial" w:eastAsia="Arial" w:hAnsi="Arial"/>
          <w:b/>
          <w:bCs/>
          <w:color w:val="2E75B6"/>
          <w:sz w:val="22"/>
          <w:szCs w:val="22"/>
        </w:rPr>
        <w:t xml:space="preserve">C2.2 Agent-to-model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2160"/>
        <w:gridCol w:w="180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Agent</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Temp</w:t>
            </w:r>
          </w:p>
        </w:tc>
        <w:tc>
          <w:tcPr>
            <w:tcW w:type="dxa" w:w="2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Max output</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Instruction size</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Strategy Agent</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gemini-2.5-pro</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0.2</w:t>
            </w:r>
          </w:p>
        </w:tc>
        <w:tc>
          <w:tcPr>
            <w:tcW w:type="dxa" w:w="2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2,000 tokens</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~8,000 tokens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Framework Gate (fg)</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gemini-2.5-flash</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0.3</w:t>
            </w:r>
          </w:p>
        </w:tc>
        <w:tc>
          <w:tcPr>
            <w:tcW w:type="dxa" w:w="2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400 tokens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~6,000 tokens</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Story Architect (fg)</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gemini-2.5-flash</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0.4</w:t>
            </w:r>
          </w:p>
        </w:tc>
        <w:tc>
          <w:tcPr>
            <w:tcW w:type="dxa" w:w="2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120 tokens</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~3,500 tokens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Story Architect (od)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gemini-2.5-pro</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0.3</w:t>
            </w:r>
          </w:p>
        </w:tc>
        <w:tc>
          <w:tcPr>
            <w:tcW w:type="dxa" w:w="2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600 tokens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~9,000 tokens</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Scoring Engine (x4)</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gemini-2.5-pro</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0.2</w:t>
            </w:r>
          </w:p>
        </w:tc>
        <w:tc>
          <w:tcPr>
            <w:tcW w:type="dxa" w:w="2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500 tokens/dim</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~14,000 shared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Strategic Advisor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gemini-2.5-pro</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0.3</w:t>
            </w:r>
          </w:p>
        </w:tc>
        <w:tc>
          <w:tcPr>
            <w:tcW w:type="dxa" w:w="2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1,100 tokens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~10,000 tokens</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Editing Agent (fg)</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gemini-2.5-flash</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0.5</w:t>
            </w:r>
          </w:p>
        </w:tc>
        <w:tc>
          <w:tcPr>
            <w:tcW w:type="dxa" w:w="2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120 tokens</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~3,000 tokens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Editing Agent (od)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gemini-2.5-pro</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0.4</w:t>
            </w:r>
          </w:p>
        </w:tc>
        <w:tc>
          <w:tcPr>
            <w:tcW w:type="dxa" w:w="2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900 tokens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~8,000 x2 tokens</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Gap Analysis</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gemini-2.5-pro</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0.3</w:t>
            </w:r>
          </w:p>
        </w:tc>
        <w:tc>
          <w:tcPr>
            <w:tcW w:type="dxa" w:w="2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800 tokens</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~12,000 tokens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Resume Agent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gemini-2.5-pro</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0.3</w:t>
            </w:r>
          </w:p>
        </w:tc>
        <w:tc>
          <w:tcPr>
            <w:tcW w:type="dxa" w:w="2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600 tokens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~8,000 tokens</w:t>
            </w:r>
          </w:p>
        </w:tc>
      </w:tr>
      <w:tr>
        <w:tc>
          <w:tcPr>
            <w:tcW w:type="dxa" w:w="2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Rec Letter Agent</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gemini-2.5-pro</w:t>
            </w:r>
          </w:p>
        </w:tc>
        <w:tc>
          <w:tcPr>
            <w:tcW w:type="dxa" w:w="1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0.3</w:t>
            </w:r>
          </w:p>
        </w:tc>
        <w:tc>
          <w:tcPr>
            <w:tcW w:type="dxa" w:w="2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500 tokens</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~7,000 tokens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Interview Agent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gemini-2.5-pro</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0.3</w:t>
            </w:r>
          </w:p>
        </w:tc>
        <w:tc>
          <w:tcPr>
            <w:tcW w:type="dxa" w:w="2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800 tokens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7"/>
                <w:szCs w:val="17"/>
              </w:rPr>
              <w:t xml:space="preserve">~9,000 tokens</w:t>
            </w:r>
          </w:p>
        </w:tc>
      </w:tr>
    </w:tbl>
    <w:p>
      <w:pPr>
        <w:spacing w:after="40" w:before="40"/>
      </w:pPr>
    </w:p>
    <w:p>
      <w:pPr>
        <w:pBdr>
          <w:left w:val="single" w:color="1976D2" w:sz="12" w:space="8"/>
        </w:pBdr>
        <w:shd w:fill="E3F2FD" w:val="clear"/>
        <w:spacing w:after="80" w:before="80" w:line="300"/>
        <w:ind w:left="200" w:right="200"/>
      </w:pPr>
      <w:r>
        <w:rPr>
          <w:rFonts w:ascii="Arial" w:cs="Arial" w:eastAsia="Arial" w:hAnsi="Arial"/>
          <w:i/>
          <w:iCs/>
          <w:color w:val="0D47A1"/>
          <w:sz w:val="19"/>
          <w:szCs w:val="19"/>
        </w:rPr>
        <w:t xml:space="preserve">Gemini 2.5 Flash is used for all foreground (real-time, debounced) calls where latency must be under 1.5 seconds. Gemini 2.5 Pro is used for all on-demand (student-triggered) calls where quality matters more than speed. This two-model strategy mirrors the Haiku/Sonnet split in the original Claude-based design.</w:t>
      </w:r>
    </w:p>
    <w:p>
      <w:pPr>
        <w:spacing w:after="140" w:before="280"/>
      </w:pPr>
      <w:r>
        <w:rPr>
          <w:rFonts w:ascii="Arial" w:cs="Arial" w:eastAsia="Arial" w:hAnsi="Arial"/>
          <w:b/>
          <w:bCs/>
          <w:color w:val="2E75B6"/>
          <w:sz w:val="22"/>
          <w:szCs w:val="22"/>
        </w:rPr>
        <w:t xml:space="preserve">C2.3 Gemini API call pattern</w:t>
      </w:r>
    </w:p>
    <w:p>
      <w:pPr>
        <w:spacing w:after="60" w:before="60" w:line="300"/>
      </w:pPr>
      <w:r>
        <w:rPr>
          <w:rFonts w:ascii="Arial" w:cs="Arial" w:eastAsia="Arial" w:hAnsi="Arial"/>
          <w:color w:val="444444"/>
          <w:sz w:val="20"/>
          <w:szCs w:val="20"/>
        </w:rPr>
        <w:t xml:space="preserve">Every agent call follows this pattern:</w:t>
      </w:r>
    </w:p>
    <w:p>
      <w:pPr>
        <w:pStyle w:val="ListParagraph"/>
        <w:numPr>
          <w:ilvl w:val="0"/>
          <w:numId w:val="3"/>
        </w:numPr>
        <w:spacing w:after="50" w:before="50" w:line="280"/>
      </w:pPr>
      <w:r>
        <w:rPr>
          <w:rFonts w:ascii="Arial" w:cs="Arial" w:eastAsia="Arial" w:hAnsi="Arial"/>
          <w:color w:val="444444"/>
          <w:sz w:val="19"/>
          <w:szCs w:val="19"/>
        </w:rPr>
        <w:t xml:space="preserve">Load the agent’s system instruction from Redis cache (or DB if cache miss).</w:t>
      </w:r>
    </w:p>
    <w:p>
      <w:pPr>
        <w:pStyle w:val="ListParagraph"/>
        <w:numPr>
          <w:ilvl w:val="0"/>
          <w:numId w:val="3"/>
        </w:numPr>
        <w:spacing w:after="50" w:before="50" w:line="280"/>
      </w:pPr>
      <w:r>
        <w:rPr>
          <w:rFonts w:ascii="Arial" w:cs="Arial" w:eastAsia="Arial" w:hAnsi="Arial"/>
          <w:color w:val="444444"/>
          <w:sz w:val="19"/>
          <w:szCs w:val="19"/>
        </w:rPr>
        <w:t xml:space="preserve">Build the user message by combining: NAO context + document text + any upstream agent outputs.</w:t>
      </w:r>
    </w:p>
    <w:p>
      <w:pPr>
        <w:pStyle w:val="ListParagraph"/>
        <w:numPr>
          <w:ilvl w:val="0"/>
          <w:numId w:val="3"/>
        </w:numPr>
        <w:spacing w:after="50" w:before="50" w:line="280"/>
      </w:pPr>
      <w:r>
        <w:rPr>
          <w:rFonts w:ascii="Arial" w:cs="Arial" w:eastAsia="Arial" w:hAnsi="Arial"/>
          <w:color w:val="444444"/>
          <w:sz w:val="19"/>
          <w:szCs w:val="19"/>
        </w:rPr>
        <w:t xml:space="preserve">Call Gemini API with structured output mode (responseMimeType: ‘application/json’, responseSchema: agent’s JSON schema).</w:t>
      </w:r>
    </w:p>
    <w:p>
      <w:pPr>
        <w:pStyle w:val="ListParagraph"/>
        <w:numPr>
          <w:ilvl w:val="0"/>
          <w:numId w:val="3"/>
        </w:numPr>
        <w:spacing w:after="50" w:before="50" w:line="280"/>
      </w:pPr>
      <w:r>
        <w:rPr>
          <w:rFonts w:ascii="Arial" w:cs="Arial" w:eastAsia="Arial" w:hAnsi="Arial"/>
          <w:color w:val="444444"/>
          <w:sz w:val="19"/>
          <w:szCs w:val="19"/>
        </w:rPr>
        <w:t xml:space="preserve">Validate the response against the agent’s expected schema. If validation fails, retry once with a repair prompt.</w:t>
      </w:r>
    </w:p>
    <w:p>
      <w:pPr>
        <w:pStyle w:val="ListParagraph"/>
        <w:numPr>
          <w:ilvl w:val="0"/>
          <w:numId w:val="3"/>
        </w:numPr>
        <w:spacing w:after="50" w:before="50" w:line="280"/>
      </w:pPr>
      <w:r>
        <w:rPr>
          <w:rFonts w:ascii="Arial" w:cs="Arial" w:eastAsia="Arial" w:hAnsi="Arial"/>
          <w:color w:val="444444"/>
          <w:sz w:val="19"/>
          <w:szCs w:val="19"/>
        </w:rPr>
        <w:t xml:space="preserve">Log the call to the agent_executions table: agent_id, user_id, document_id, input_tokens, output_tokens, cached_tokens, latency_ms, model, cost_usd.</w:t>
      </w:r>
    </w:p>
    <w:p>
      <w:pPr>
        <w:pStyle w:val="ListParagraph"/>
        <w:numPr>
          <w:ilvl w:val="0"/>
          <w:numId w:val="3"/>
        </w:numPr>
        <w:spacing w:after="50" w:before="50" w:line="280"/>
      </w:pPr>
      <w:r>
        <w:rPr>
          <w:rFonts w:ascii="Arial" w:cs="Arial" w:eastAsia="Arial" w:hAnsi="Arial"/>
          <w:color w:val="444444"/>
          <w:sz w:val="19"/>
          <w:szCs w:val="19"/>
        </w:rPr>
        <w:t xml:space="preserve">Return the structured output to the orchestration engine for routing to the next agent.</w:t>
      </w:r>
    </w:p>
    <w:p>
      <w:pPr>
        <w:spacing w:after="140" w:before="280"/>
      </w:pPr>
      <w:r>
        <w:rPr>
          <w:rFonts w:ascii="Arial" w:cs="Arial" w:eastAsia="Arial" w:hAnsi="Arial"/>
          <w:b/>
          <w:bCs/>
          <w:color w:val="2E75B6"/>
          <w:sz w:val="22"/>
          <w:szCs w:val="22"/>
        </w:rPr>
        <w:t xml:space="preserve">C2.4 Gemini context caching</w:t>
      </w:r>
    </w:p>
    <w:p>
      <w:pPr>
        <w:spacing w:after="60" w:before="60" w:line="300"/>
      </w:pPr>
      <w:r>
        <w:rPr>
          <w:rFonts w:ascii="Arial" w:cs="Arial" w:eastAsia="Arial" w:hAnsi="Arial"/>
          <w:color w:val="444444"/>
          <w:sz w:val="20"/>
          <w:szCs w:val="20"/>
        </w:rPr>
        <w:t xml:space="preserve">Gemini API supports context caching via the CachedContent resource. Large, reusable instruction blocks (6,000–14,000 tokens) are cached server-side to reduce per-call costs.</w:t>
      </w:r>
    </w:p>
    <w:p>
      <w:pPr>
        <w:pStyle w:val="ListParagraph"/>
        <w:numPr>
          <w:ilvl w:val="0"/>
          <w:numId w:val="2"/>
        </w:numPr>
        <w:spacing w:after="50" w:before="50" w:line="280"/>
      </w:pPr>
      <w:r>
        <w:rPr>
          <w:rFonts w:ascii="Arial" w:cs="Arial" w:eastAsia="Arial" w:hAnsi="Arial"/>
          <w:color w:val="444444"/>
          <w:sz w:val="19"/>
          <w:szCs w:val="19"/>
        </w:rPr>
        <w:t xml:space="preserve">Strategy Agent instruction (8,000 tokens): cached for 1 hour. All intake submissions within the hour read from cache.</w:t>
      </w:r>
    </w:p>
    <w:p>
      <w:pPr>
        <w:pStyle w:val="ListParagraph"/>
        <w:numPr>
          <w:ilvl w:val="0"/>
          <w:numId w:val="2"/>
        </w:numPr>
        <w:spacing w:after="50" w:before="50" w:line="280"/>
      </w:pPr>
      <w:r>
        <w:rPr>
          <w:rFonts w:ascii="Arial" w:cs="Arial" w:eastAsia="Arial" w:hAnsi="Arial"/>
          <w:color w:val="444444"/>
          <w:sz w:val="19"/>
          <w:szCs w:val="19"/>
        </w:rPr>
        <w:t xml:space="preserve">Scoring Engine shared instruction (14,000 tokens): cached for 5 minutes. All 4 scoring dimensions share one cached prefix — each dimension appends a short differentiator (~400 tokens).</w:t>
      </w:r>
    </w:p>
    <w:p>
      <w:pPr>
        <w:pStyle w:val="ListParagraph"/>
        <w:numPr>
          <w:ilvl w:val="0"/>
          <w:numId w:val="2"/>
        </w:numPr>
        <w:spacing w:after="50" w:before="50" w:line="280"/>
      </w:pPr>
      <w:r>
        <w:rPr>
          <w:rFonts w:ascii="Arial" w:cs="Arial" w:eastAsia="Arial" w:hAnsi="Arial"/>
          <w:color w:val="444444"/>
          <w:sz w:val="19"/>
          <w:szCs w:val="19"/>
        </w:rPr>
        <w:t xml:space="preserve">Foreground agents (Story Architect fg, Editing fg, Framework fg): 1-hour TTL cache on instructions. These fire frequently during writing sessions.</w:t>
      </w:r>
    </w:p>
    <w:p>
      <w:pPr>
        <w:pStyle w:val="ListParagraph"/>
        <w:numPr>
          <w:ilvl w:val="0"/>
          <w:numId w:val="2"/>
        </w:numPr>
        <w:spacing w:after="50" w:before="50" w:line="280"/>
      </w:pPr>
      <w:r>
        <w:rPr>
          <w:rFonts w:ascii="Arial" w:cs="Arial" w:eastAsia="Arial" w:hAnsi="Arial"/>
          <w:color w:val="444444"/>
          <w:sz w:val="19"/>
          <w:szCs w:val="19"/>
        </w:rPr>
        <w:t xml:space="preserve">On-demand agents: 5-minute TTL cache. These fire less frequently.</w:t>
      </w:r>
    </w:p>
    <w:p>
      <w:pPr>
        <w:pBdr>
          <w:left w:val="single" w:color="F57C00" w:sz="12" w:space="8"/>
        </w:pBdr>
        <w:shd w:fill="FFF3E0" w:val="clear"/>
        <w:spacing w:after="80" w:before="80" w:line="300"/>
        <w:ind w:left="200" w:right="200"/>
      </w:pPr>
      <w:r>
        <w:rPr>
          <w:rFonts w:ascii="Arial" w:cs="Arial" w:eastAsia="Arial" w:hAnsi="Arial"/>
          <w:i/>
          <w:iCs/>
          <w:color w:val="E65100"/>
          <w:sz w:val="19"/>
          <w:szCs w:val="19"/>
        </w:rPr>
        <w:t xml:space="preserve">Phase 3 acceptance criterion: cache_read_input_tokens must be &gt; 80% of expected cached content on repeat calls within TTL. If caching is not working, per-student cost triples from ~$17 to ~$45. Inspector page must show live cache hit rate before Phase 3 signoff.</w:t>
      </w:r>
    </w:p>
    <w:p>
      <w:r>
        <w:br w:type="page"/>
      </w:r>
    </w:p>
    <w:p>
      <w:pPr>
        <w:pBdr>
          <w:bottom w:val="single" w:color="2E75B6" w:sz="4" w:space="6"/>
        </w:pBdr>
        <w:spacing w:after="200" w:before="400"/>
      </w:pPr>
      <w:r>
        <w:rPr>
          <w:rFonts w:ascii="Arial" w:cs="Arial" w:eastAsia="Arial" w:hAnsi="Arial"/>
          <w:b/>
          <w:bCs/>
          <w:color w:val="1B3A5C"/>
          <w:sz w:val="26"/>
          <w:szCs w:val="26"/>
        </w:rPr>
        <w:t xml:space="preserve">C3. DATABASE SCHEMA (SUPABASE / POSTGRESQL)</w:t>
      </w:r>
    </w:p>
    <w:p>
      <w:pPr>
        <w:spacing w:after="60" w:before="60" w:line="300"/>
      </w:pPr>
      <w:r>
        <w:rPr>
          <w:rFonts w:ascii="Arial" w:cs="Arial" w:eastAsia="Arial" w:hAnsi="Arial"/>
          <w:color w:val="444444"/>
          <w:sz w:val="20"/>
          <w:szCs w:val="20"/>
        </w:rPr>
        <w:t xml:space="preserve">All tables use UUID primary keys. Row Level Security (RLS) enforced on every table. Schema versioned in migrations with rollback support.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columns + purpose</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users</w:t>
            </w:r>
          </w:p>
        </w:tc>
        <w:tc>
          <w:tcPr>
            <w:tcW w:type="dxa" w:w="7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email, name, track (MBA|Masters), tier (free|core|full|full_consulting), profile (jsonb), target_schools (text[]), voice_fingerprint (jsonb), stripe_customer_id, created_at, updated_at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narrative_anchors</w:t>
            </w:r>
          </w:p>
        </w:tc>
        <w:tc>
          <w:tcPr>
            <w:tcW w:type="dxa" w:w="7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user_id (FK), nao_data (jsonb — full NAO), version (int), created_by_agent (text), is_current (bool), created_at. Versioned, append-only. Only one is_current=true per user.</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documents</w:t>
            </w:r>
          </w:p>
        </w:tc>
        <w:tc>
          <w:tcPr>
            <w:tcW w:type="dxa" w:w="7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user_id (FK), doc_type (enum: consultation|resume|personal_essay|school_essay|rec_letter|scholarship|transcript|interview), archetype (text, for personal essays: goals|leadership|failure|etc), target_school (text), status (draft|evaluating|evaluated), latest_score (int), momentum (improving|stable|declining), created_at, updated_at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drafts</w:t>
            </w:r>
          </w:p>
        </w:tc>
        <w:tc>
          <w:tcPr>
            <w:tcW w:type="dxa" w:w="7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document_id (FK), draft_number (int), content (text), word_count (int), segmentation (jsonb — layer breakdown), submitted_at. Immutable after creation.</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evaluations</w:t>
            </w:r>
          </w:p>
        </w:tc>
        <w:tc>
          <w:tcPr>
            <w:tcW w:type="dxa" w:w="7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draft_id (FK), scoring_results (jsonb), framework_output (jsonb), architect_output (jsonb), advisor_output (jsonb), editing_output (jsonb), gap_output (jsonb), total_score (int), score_delta (int), processing_time_ms (int), created_at. One evaluation per draft.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agent_executions</w:t>
            </w:r>
          </w:p>
        </w:tc>
        <w:tc>
          <w:tcPr>
            <w:tcW w:type="dxa" w:w="7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user_id (FK), document_id (FK), draft_id (FK), agent_id (text), model (text), input_tokens (int), output_tokens (int), cached_tokens (int), cost_usd (decimal), latency_ms (int), input_json (jsonb), output_json (jsonb), outcome (success|retry|timeout|spend_cap), created_at. Full audit trail.</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agent_memory</w:t>
            </w:r>
          </w:p>
        </w:tc>
        <w:tc>
          <w:tcPr>
            <w:tcW w:type="dxa" w:w="7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user_id (FK), agent_id (text), document_id (FK, nullable), memory_data (jsonb), created_at. Per-agent, per-student memory. Pruned to last 10 interactions.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story_bank</w:t>
            </w:r>
          </w:p>
        </w:tc>
        <w:tc>
          <w:tcPr>
            <w:tcW w:type="dxa" w:w="7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user_id (FK), title (text), content (text), archetypes_used (text[]), documents_used (uuid[]), created_at</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school_configs</w:t>
            </w:r>
          </w:p>
        </w:tc>
        <w:tc>
          <w:tcPr>
            <w:tcW w:type="dxa" w:w="7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school_id (text), name (text), essay_prompts (jsonb), culture_signals (jsonb), rubric_weights (jsonb), interview_style (text), scholarship_config (jsonb), adcom_persona (text), updated_at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coaching_requests</w:t>
            </w:r>
          </w:p>
        </w:tc>
        <w:tc>
          <w:tcPr>
            <w:tcW w:type="dxa" w:w="7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user_id (FK), document_id (FK, nullable), session_type (strategy|review|mock|loom), status (requested|paid|scheduled|completed), stripe_payment_id (text), cal_event_id (text), consultant_notes (text), session_recording_url (text), pre_brief (jsonb), created_at</w:t>
            </w:r>
          </w:p>
        </w:tc>
      </w:tr>
      <w:tr>
        <w:tc>
          <w:tcPr>
            <w:tcW w:type="dxa" w:w="2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8"/>
                <w:szCs w:val="18"/>
              </w:rPr>
              <w:t xml:space="preserve">spend_tracking</w:t>
            </w:r>
          </w:p>
        </w:tc>
        <w:tc>
          <w:tcPr>
            <w:tcW w:type="dxa" w:w="71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id (uuid PK), user_id (FK), date (date), total_cost_usd (decimal), call_count (int), cap_hit (bool). Aggregated daily. Used for $1.50/day cap enforcement.</w:t>
            </w:r>
          </w:p>
        </w:tc>
      </w:tr>
    </w:tbl>
    <w:p>
      <w:pPr>
        <w:pBdr>
          <w:bottom w:val="single" w:color="2E75B6" w:sz="4" w:space="6"/>
        </w:pBdr>
        <w:spacing w:after="200" w:before="400"/>
      </w:pPr>
      <w:r>
        <w:rPr>
          <w:rFonts w:ascii="Arial" w:cs="Arial" w:eastAsia="Arial" w:hAnsi="Arial"/>
          <w:b/>
          <w:bCs/>
          <w:color w:val="1B3A5C"/>
          <w:sz w:val="26"/>
          <w:szCs w:val="26"/>
        </w:rPr>
        <w:t xml:space="preserve">C4. API ROUTES</w:t>
      </w:r>
    </w:p>
    <w:p>
      <w:pPr>
        <w:spacing w:after="60" w:before="60" w:line="300"/>
      </w:pPr>
      <w:r>
        <w:rPr>
          <w:rFonts w:ascii="Arial" w:cs="Arial" w:eastAsia="Arial" w:hAnsi="Arial"/>
          <w:color w:val="444444"/>
          <w:sz w:val="20"/>
          <w:szCs w:val="20"/>
        </w:rPr>
        <w:t xml:space="preserve">All API routes are Next.js API Routes running on Vercel edge or Node.js runtime. All routes enforce authentication and tier-based access control server-side.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Route</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 + notes</w:t>
            </w:r>
          </w:p>
        </w:tc>
      </w:tr>
      <w:tr>
        <w:tc>
          <w:tcPr>
            <w:tcW w:type="dxa" w:w="3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/api/auth/*</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GET/POST</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Supabase Auth handlers: signup, signin, verify, reset, OAuth callback</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/api/stripe/webhook</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Stripe webhook: checkout.session.completed, subscription.updated/deleted, invoice.succeeded/failed. Idempotency via event ID.</w:t>
            </w:r>
          </w:p>
        </w:tc>
      </w:tr>
      <w:tr>
        <w:tc>
          <w:tcPr>
            <w:tcW w:type="dxa" w:w="3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/api/intake/submit</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Submit 30-question intake. Triggers Strategy Agent. Returns NAO. Tier gate: all tiers.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/api/nao/[userId]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GET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Fetch current NAO for a user. Tier gate: Core+.</w:t>
            </w:r>
          </w:p>
        </w:tc>
      </w:tr>
      <w:tr>
        <w:tc>
          <w:tcPr>
            <w:tcW w:type="dxa" w:w="3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/api/nao/regenerate</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Re-run Strategy Agent on existing intake answers. Creates new NAO version.</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/api/documents/[docId]/evaluate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Submit a draft for evaluation. Triggers the full agent pipeline. Enforces $1.50/day spend cap. Tier gate: Core+.</w:t>
            </w:r>
          </w:p>
        </w:tc>
      </w:tr>
      <w:tr>
        <w:tc>
          <w:tcPr>
            <w:tcW w:type="dxa" w:w="3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/api/documents/[docId]/evaluate/foreground</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Trigger foreground agents only (Story Architect fg, Editing fg, Framework fg). Debounced 1,500ms client-side. Tier gate: Core+.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/api/agents/bullet-rewrite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Resume bullet rewriter. Input: one bullet. Output: score + 2 rewrites. Tier gate: Core+.</w:t>
            </w:r>
          </w:p>
        </w:tc>
      </w:tr>
      <w:tr>
        <w:tc>
          <w:tcPr>
            <w:tcW w:type="dxa" w:w="3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/api/agents/gap-analysis</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On-demand Gap Analysis. Only fires if 2+ documents complete. Tier gate: Full.</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/api/agents/mock-interview</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AI mock interview. Input: question + answer (text or voice transcript). Tier gate: Full.</w:t>
            </w:r>
          </w:p>
        </w:tc>
      </w:tr>
      <w:tr>
        <w:tc>
          <w:tcPr>
            <w:tcW w:type="dxa" w:w="3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/api/voice/transcribe</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Whisper API transcription. Input: audio blob. Output: text. Tier gate: Full.</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/api/school-configs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GET/PUT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List and update school configs. Tier gate: Admin only.</w:t>
            </w:r>
          </w:p>
        </w:tc>
      </w:tr>
      <w:tr>
        <w:tc>
          <w:tcPr>
            <w:tcW w:type="dxa" w:w="3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/api/comparison/[userId]</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GET</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School comparison data for a user’s documents. Tier gate: Full.</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/api/booking/create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Create Cal.com booking + Stripe payment. Auto-generates pre-brief. Tier gate: Full+Consulting.</w:t>
            </w:r>
          </w:p>
        </w:tc>
      </w:tr>
      <w:tr>
        <w:tc>
          <w:tcPr>
            <w:tcW w:type="dxa" w:w="32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/api/admin/inspector</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GET</w:t>
            </w:r>
          </w:p>
        </w:tc>
        <w:tc>
          <w:tcPr>
            <w:tcW w:type="dxa" w:w="47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Observability data: per-user costs, cache hit rates, latency. Tier gate: Admin only.</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/api/cron/gap-analysis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color w:val="333333"/>
                <w:sz w:val="17"/>
                <w:szCs w:val="17"/>
              </w:rPr>
              <w:t xml:space="preserve">POST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Overnight Gap Analysis cron. Doc-change-gated. Batch API. Tier gate: System.</w:t>
            </w:r>
          </w:p>
        </w:tc>
      </w:tr>
    </w:tbl>
    <w:p>
      <w:r>
        <w:br w:type="page"/>
      </w:r>
    </w:p>
    <w:p>
      <w:pPr>
        <w:pBdr>
          <w:bottom w:val="single" w:color="2E75B6" w:sz="4" w:space="6"/>
        </w:pBdr>
        <w:spacing w:after="200" w:before="400"/>
      </w:pPr>
      <w:r>
        <w:rPr>
          <w:rFonts w:ascii="Arial" w:cs="Arial" w:eastAsia="Arial" w:hAnsi="Arial"/>
          <w:b/>
          <w:bCs/>
          <w:color w:val="1B3A5C"/>
          <w:sz w:val="26"/>
          <w:szCs w:val="26"/>
        </w:rPr>
        <w:t xml:space="preserve">C5. AGENT EXECUTION PIPELINE — TECHNICAL FLOW</w:t>
      </w:r>
    </w:p>
    <w:p>
      <w:pPr>
        <w:spacing w:after="60" w:before="60" w:line="300"/>
      </w:pPr>
      <w:r>
        <w:rPr>
          <w:rFonts w:ascii="Arial" w:cs="Arial" w:eastAsia="Arial" w:hAnsi="Arial"/>
          <w:color w:val="444444"/>
          <w:sz w:val="20"/>
          <w:szCs w:val="20"/>
        </w:rPr>
        <w:t xml:space="preserve">The orchestration engine is a DAG (directed acyclic graph) with parallel branches and merge points. Implemented as an async TypeScript function in a Supabase edge function.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360"/>
        <w:gridCol w:w="4800"/>
      </w:tblGrid>
      <w:tr>
        <w:tc>
          <w:tcPr>
            <w:tcW w:type="dxa" w:w="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4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Technical implementation</w:t>
            </w:r>
          </w:p>
        </w:tc>
      </w:tr>
      <w:tr>
        <w:tc>
          <w:tcPr>
            <w:tcW w:type="dxa" w:w="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1</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Instant</w:t>
            </w:r>
          </w:p>
        </w:tc>
        <w:tc>
          <w:tcPr>
            <w:tcW w:type="dxa" w:w="2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Load context</w:t>
            </w:r>
          </w:p>
        </w:tc>
        <w:tc>
          <w:tcPr>
            <w:tcW w:type="dxa" w:w="4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5"/>
                <w:szCs w:val="15"/>
              </w:rPr>
              <w:t xml:space="preserve">Fetch user.profile, current NAO (is_current=true), agent_memory for this user from Supabase. Inject into all downstream calls. No Gemini call.</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~1.5s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Segmenter</w:t>
            </w:r>
          </w:p>
        </w:tc>
        <w:tc>
          <w:tcPr>
            <w:tcW w:type="dxa" w:w="4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5"/>
                <w:szCs w:val="15"/>
              </w:rPr>
              <w:t xml:space="preserve">Call Gemini 2.5 Flash with document text. Output: { sections: [{ layer, text, word_count, pct }] }. Sequential dependency — must complete before scoring.</w:t>
            </w:r>
          </w:p>
        </w:tc>
      </w:tr>
      <w:tr>
        <w:tc>
          <w:tcPr>
            <w:tcW w:type="dxa" w:w="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3a</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~3–4s</w:t>
            </w:r>
          </w:p>
        </w:tc>
        <w:tc>
          <w:tcPr>
            <w:tcW w:type="dxa" w:w="2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Scoring Engine (parallel)</w:t>
            </w:r>
          </w:p>
        </w:tc>
        <w:tc>
          <w:tcPr>
            <w:tcW w:type="dxa" w:w="4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5"/>
                <w:szCs w:val="15"/>
              </w:rPr>
              <w:t xml:space="preserve">Fire 4 scoring dimensions via Promise.all(). Shared cached instruction prefix (14K tokens). Each dimension appends ~400 token differentiator. Model: Gemini 2.5 Pro. Output: { dimensions: { [name]: { score, feedback } } }.</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3b</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~2–3s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Story Architect (parallel)</w:t>
            </w:r>
          </w:p>
        </w:tc>
        <w:tc>
          <w:tcPr>
            <w:tcW w:type="dxa" w:w="4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5"/>
                <w:szCs w:val="15"/>
              </w:rPr>
              <w:t xml:space="preserve">Runs simultaneously with Scoring Engine. Input: NAO + segmentation + story_bank. Output: { current_arc, recommended_arc, layer_balance, restructuring_directives[], story_fitness }. Model: Gemini 2.5 Pro.</w:t>
            </w:r>
          </w:p>
        </w:tc>
      </w:tr>
      <w:tr>
        <w:tc>
          <w:tcPr>
            <w:tcW w:type="dxa" w:w="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4</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~2–3s</w:t>
            </w:r>
          </w:p>
        </w:tc>
        <w:tc>
          <w:tcPr>
            <w:tcW w:type="dxa" w:w="2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Framework Gate</w:t>
            </w:r>
          </w:p>
        </w:tc>
        <w:tc>
          <w:tcPr>
            <w:tcW w:type="dxa" w:w="4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5"/>
                <w:szCs w:val="15"/>
              </w:rPr>
              <w:t xml:space="preserve">Input: NAO + segmentation + scoring results. Checks goal bridge, school fit, reflection depth, claim support. Output: { challenges[], logic_score, passed }. Soft warn only in MVP. Model: Gemini 2.5 Flash (Phase 6: tunable).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5</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~2–3s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Strategic Advisor</w:t>
            </w:r>
          </w:p>
        </w:tc>
        <w:tc>
          <w:tcPr>
            <w:tcW w:type="dxa" w:w="4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5"/>
                <w:szCs w:val="15"/>
              </w:rPr>
              <w:t xml:space="preserve">Merge point: receives BOTH Scoring Engine output AND Story Architect output. Synthesises into: { top_3_priorities[], competitive_risks[], rewrite_blueprint }. Model: Gemini 2.5 Pro.</w:t>
            </w:r>
          </w:p>
        </w:tc>
      </w:tr>
      <w:tr>
        <w:tc>
          <w:tcPr>
            <w:tcW w:type="dxa" w:w="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6a</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~3–4s</w:t>
            </w:r>
          </w:p>
        </w:tc>
        <w:tc>
          <w:tcPr>
            <w:tcW w:type="dxa" w:w="2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Editing Agent (parallel)</w:t>
            </w:r>
          </w:p>
        </w:tc>
        <w:tc>
          <w:tcPr>
            <w:tcW w:type="dxa" w:w="4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5"/>
                <w:szCs w:val="15"/>
              </w:rPr>
              <w:t xml:space="preserve">Follows Strategic Advisor’s rewrite_blueprint. Generates 2 rewrite options per weak section. Voice fingerprint injected. Output: { rewrites[{ original, option_a, option_b, reasoning }] }. Model: Gemini 2.5 Pro.</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6b</w:t>
            </w:r>
          </w:p>
        </w:tc>
        <w:tc>
          <w:tcPr>
            <w:tcW w:type="dxa" w:w="1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~3–4s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Gap Agent (parallel, conditional)</w:t>
            </w:r>
          </w:p>
        </w:tc>
        <w:tc>
          <w:tcPr>
            <w:tcW w:type="dxa" w:w="4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5"/>
                <w:szCs w:val="15"/>
              </w:rPr>
              <w:t xml:space="preserve">Only fires if 2+ documents complete. Input: NAO + all documents + all previous evaluations. Output: { health_score, gaps[], contradictions[], next_actions[] }. Model: Gemini 2.5 Pro.</w:t>
            </w:r>
          </w:p>
        </w:tc>
      </w:tr>
      <w:tr>
        <w:tc>
          <w:tcPr>
            <w:tcW w:type="dxa" w:w="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7</w:t>
            </w:r>
          </w:p>
        </w:tc>
        <w:tc>
          <w:tcPr>
            <w:tcW w:type="dxa" w:w="14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center"/>
            </w:pPr>
            <w:r>
              <w:rPr>
                <w:rFonts w:ascii="Arial" w:cs="Arial" w:eastAsia="Arial" w:hAnsi="Arial"/>
                <w:b/>
                <w:bCs/>
                <w:color w:val="333333"/>
                <w:sz w:val="17"/>
                <w:szCs w:val="17"/>
              </w:rPr>
              <w:t xml:space="preserve">Instant</w:t>
            </w:r>
          </w:p>
        </w:tc>
        <w:tc>
          <w:tcPr>
            <w:tcW w:type="dxa" w:w="2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7"/>
                <w:szCs w:val="17"/>
              </w:rPr>
              <w:t xml:space="preserve">Persist + return</w:t>
            </w:r>
          </w:p>
        </w:tc>
        <w:tc>
          <w:tcPr>
            <w:tcW w:type="dxa" w:w="48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5"/>
                <w:szCs w:val="15"/>
              </w:rPr>
              <w:t xml:space="preserve">Save: evaluation record (all agent outputs joined), agent_executions (audit trail), agent_memory updates, spend_tracking increment. Push results to client via Supabase real-time subscription.</w:t>
            </w:r>
          </w:p>
        </w:tc>
      </w:tr>
    </w:tbl>
    <w:p>
      <w:pPr>
        <w:pBdr>
          <w:bottom w:val="single" w:color="2E75B6" w:sz="4" w:space="6"/>
        </w:pBdr>
        <w:spacing w:after="200" w:before="400"/>
      </w:pPr>
      <w:r>
        <w:rPr>
          <w:rFonts w:ascii="Arial" w:cs="Arial" w:eastAsia="Arial" w:hAnsi="Arial"/>
          <w:b/>
          <w:bCs/>
          <w:color w:val="1B3A5C"/>
          <w:sz w:val="26"/>
          <w:szCs w:val="26"/>
        </w:rPr>
        <w:t xml:space="preserve">C6. OBSERVABILITY AND COST CONTROL</w:t>
      </w:r>
    </w:p>
    <w:p>
      <w:pPr>
        <w:spacing w:after="140" w:before="280"/>
      </w:pPr>
      <w:r>
        <w:rPr>
          <w:rFonts w:ascii="Arial" w:cs="Arial" w:eastAsia="Arial" w:hAnsi="Arial"/>
          <w:b/>
          <w:bCs/>
          <w:color w:val="2E75B6"/>
          <w:sz w:val="22"/>
          <w:szCs w:val="22"/>
        </w:rPr>
        <w:t xml:space="preserve">C6.1 Per-agent telemetry</w:t>
      </w:r>
    </w:p>
    <w:p>
      <w:pPr>
        <w:spacing w:after="60" w:before="60" w:line="300"/>
      </w:pPr>
      <w:r>
        <w:rPr>
          <w:rFonts w:ascii="Arial" w:cs="Arial" w:eastAsia="Arial" w:hAnsi="Arial"/>
          <w:color w:val="444444"/>
          <w:sz w:val="20"/>
          <w:szCs w:val="20"/>
        </w:rPr>
        <w:t xml:space="preserve">Every Gemini API call emits a structured event to the agent_executions table with: agent_id, model, input_tokens, output_tokens, cached_tokens, cost_usd, latency_ms, outcome (success/retry/timeout/spend_cap).</w:t>
      </w:r>
    </w:p>
    <w:p>
      <w:pPr>
        <w:spacing w:after="140" w:before="280"/>
      </w:pPr>
      <w:r>
        <w:rPr>
          <w:rFonts w:ascii="Arial" w:cs="Arial" w:eastAsia="Arial" w:hAnsi="Arial"/>
          <w:b/>
          <w:bCs/>
          <w:color w:val="2E75B6"/>
          <w:sz w:val="22"/>
          <w:szCs w:val="22"/>
        </w:rPr>
        <w:t xml:space="preserve">C6.2 Cost controls</w:t>
      </w:r>
    </w:p>
    <w:p>
      <w:pPr>
        <w:pStyle w:val="ListParagraph"/>
        <w:numPr>
          <w:ilvl w:val="0"/>
          <w:numId w:val="2"/>
        </w:numPr>
        <w:spacing w:after="50" w:before="50" w:line="280"/>
      </w:pPr>
      <w:r>
        <w:rPr>
          <w:rFonts w:ascii="Arial" w:cs="Arial" w:eastAsia="Arial" w:hAnsi="Arial"/>
          <w:color w:val="444444"/>
          <w:sz w:val="19"/>
          <w:szCs w:val="19"/>
        </w:rPr>
        <w:t xml:space="preserve">Per-user daily spend cap: $1.50/day. Enforced in the Supabase edge function before any Gemini call. Check spend_tracking.total_cost_usd for today’s date. If &gt;= $1.50, reject with 429 and a user-friendly message.</w:t>
      </w:r>
    </w:p>
    <w:p>
      <w:pPr>
        <w:pStyle w:val="ListParagraph"/>
        <w:numPr>
          <w:ilvl w:val="0"/>
          <w:numId w:val="2"/>
        </w:numPr>
        <w:spacing w:after="50" w:before="50" w:line="280"/>
      </w:pPr>
      <w:r>
        <w:rPr>
          <w:rFonts w:ascii="Arial" w:cs="Arial" w:eastAsia="Arial" w:hAnsi="Arial"/>
          <w:color w:val="444444"/>
          <w:sz w:val="19"/>
          <w:szCs w:val="19"/>
        </w:rPr>
        <w:t xml:space="preserve">Auto-downgrade: If a user hits 80% of daily cap, Framework Gate switches from Gemini Pro to Gemini Flash for remaining calls that day.</w:t>
      </w:r>
    </w:p>
    <w:p>
      <w:pPr>
        <w:pStyle w:val="ListParagraph"/>
        <w:numPr>
          <w:ilvl w:val="0"/>
          <w:numId w:val="2"/>
        </w:numPr>
        <w:spacing w:after="50" w:before="50" w:line="280"/>
      </w:pPr>
      <w:r>
        <w:rPr>
          <w:rFonts w:ascii="Arial" w:cs="Arial" w:eastAsia="Arial" w:hAnsi="Arial"/>
          <w:color w:val="444444"/>
          <w:sz w:val="19"/>
          <w:szCs w:val="19"/>
        </w:rPr>
        <w:t xml:space="preserve">Batch API: Overnight Gap Analysis cron uses Gemini Batch API (50% discount) for non-real-time processing.</w:t>
      </w:r>
    </w:p>
    <w:p>
      <w:pPr>
        <w:spacing w:after="140" w:before="280"/>
      </w:pPr>
      <w:r>
        <w:rPr>
          <w:rFonts w:ascii="Arial" w:cs="Arial" w:eastAsia="Arial" w:hAnsi="Arial"/>
          <w:b/>
          <w:bCs/>
          <w:color w:val="2E75B6"/>
          <w:sz w:val="22"/>
          <w:szCs w:val="22"/>
        </w:rPr>
        <w:t xml:space="preserve">C6.3 Inspector dashboard</w:t>
      </w:r>
    </w:p>
    <w:p>
      <w:pPr>
        <w:pStyle w:val="ListParagraph"/>
        <w:numPr>
          <w:ilvl w:val="0"/>
          <w:numId w:val="2"/>
        </w:numPr>
        <w:spacing w:after="50" w:before="50" w:line="280"/>
      </w:pPr>
      <w:r>
        <w:rPr>
          <w:rFonts w:ascii="Arial" w:cs="Arial" w:eastAsia="Arial" w:hAnsi="Arial"/>
          <w:color w:val="444444"/>
          <w:sz w:val="19"/>
          <w:szCs w:val="19"/>
        </w:rPr>
        <w:t xml:space="preserve">p95 latency per agent, 24-hour rolling window.</w:t>
      </w:r>
    </w:p>
    <w:p>
      <w:pPr>
        <w:pStyle w:val="ListParagraph"/>
        <w:numPr>
          <w:ilvl w:val="0"/>
          <w:numId w:val="2"/>
        </w:numPr>
        <w:spacing w:after="50" w:before="50" w:line="280"/>
      </w:pPr>
      <w:r>
        <w:rPr>
          <w:rFonts w:ascii="Arial" w:cs="Arial" w:eastAsia="Arial" w:hAnsi="Arial"/>
          <w:color w:val="444444"/>
          <w:sz w:val="19"/>
          <w:szCs w:val="19"/>
        </w:rPr>
        <w:t xml:space="preserve">Cache hit rate per agent, 24-hour rolling window.</w:t>
      </w:r>
    </w:p>
    <w:p>
      <w:pPr>
        <w:pStyle w:val="ListParagraph"/>
        <w:numPr>
          <w:ilvl w:val="0"/>
          <w:numId w:val="2"/>
        </w:numPr>
        <w:spacing w:after="50" w:before="50" w:line="280"/>
      </w:pPr>
      <w:r>
        <w:rPr>
          <w:rFonts w:ascii="Arial" w:cs="Arial" w:eastAsia="Arial" w:hAnsi="Arial"/>
          <w:color w:val="444444"/>
          <w:sz w:val="19"/>
          <w:szCs w:val="19"/>
        </w:rPr>
        <w:t xml:space="preserve">Per-user 7-day and 30-day cost trend.</w:t>
      </w:r>
    </w:p>
    <w:p>
      <w:pPr>
        <w:pStyle w:val="ListParagraph"/>
        <w:numPr>
          <w:ilvl w:val="0"/>
          <w:numId w:val="2"/>
        </w:numPr>
        <w:spacing w:after="50" w:before="50" w:line="280"/>
      </w:pPr>
      <w:r>
        <w:rPr>
          <w:rFonts w:ascii="Arial" w:cs="Arial" w:eastAsia="Arial" w:hAnsi="Arial"/>
          <w:color w:val="444444"/>
          <w:sz w:val="19"/>
          <w:szCs w:val="19"/>
        </w:rPr>
        <w:t xml:space="preserve">Daily blended cost-per-student for active cohort.</w:t>
      </w:r>
    </w:p>
    <w:p>
      <w:pPr>
        <w:pStyle w:val="ListParagraph"/>
        <w:numPr>
          <w:ilvl w:val="0"/>
          <w:numId w:val="2"/>
        </w:numPr>
        <w:spacing w:after="50" w:before="50" w:line="280"/>
      </w:pPr>
      <w:r>
        <w:rPr>
          <w:rFonts w:ascii="Arial" w:cs="Arial" w:eastAsia="Arial" w:hAnsi="Arial"/>
          <w:color w:val="444444"/>
          <w:sz w:val="19"/>
          <w:szCs w:val="19"/>
        </w:rPr>
        <w:t xml:space="preserve">Framework gate dismiss rate, trending week-over-week.</w:t>
      </w:r>
    </w:p>
    <w:p>
      <w:pPr>
        <w:pStyle w:val="ListParagraph"/>
        <w:numPr>
          <w:ilvl w:val="0"/>
          <w:numId w:val="2"/>
        </w:numPr>
        <w:spacing w:after="50" w:before="50" w:line="280"/>
      </w:pPr>
      <w:r>
        <w:rPr>
          <w:rFonts w:ascii="Arial" w:cs="Arial" w:eastAsia="Arial" w:hAnsi="Arial"/>
          <w:color w:val="444444"/>
          <w:sz w:val="19"/>
          <w:szCs w:val="19"/>
        </w:rPr>
        <w:t xml:space="preserve">Alerts: agent p95 &gt; 2x baseline for 10+ min, cache hit &lt; 60% for 30+ min, user hits 80% daily cap, Gemini API 5xx &gt; 2% over 5 min.</w:t>
      </w:r>
    </w:p>
    <w:p>
      <w:pPr>
        <w:pBdr>
          <w:bottom w:val="single" w:color="2E75B6" w:sz="4" w:space="6"/>
        </w:pBdr>
        <w:spacing w:after="200" w:before="400"/>
      </w:pPr>
      <w:r>
        <w:rPr>
          <w:rFonts w:ascii="Arial" w:cs="Arial" w:eastAsia="Arial" w:hAnsi="Arial"/>
          <w:b/>
          <w:bCs/>
          <w:color w:val="1B3A5C"/>
          <w:sz w:val="26"/>
          <w:szCs w:val="26"/>
        </w:rPr>
        <w:t xml:space="preserve">C7. SECURITY REQUIREMENTS</w:t>
      </w:r>
    </w:p>
    <w:p>
      <w:pPr>
        <w:pStyle w:val="ListParagraph"/>
        <w:numPr>
          <w:ilvl w:val="0"/>
          <w:numId w:val="2"/>
        </w:numPr>
        <w:spacing w:after="50" w:before="50" w:line="280"/>
      </w:pPr>
      <w:r>
        <w:rPr>
          <w:rFonts w:ascii="Arial" w:cs="Arial" w:eastAsia="Arial" w:hAnsi="Arial"/>
          <w:color w:val="444444"/>
          <w:sz w:val="19"/>
          <w:szCs w:val="19"/>
        </w:rPr>
        <w:t xml:space="preserve">All Gemini API keys, Stripe secret keys, and Whisper API keys stored in Vercel environment variables. Zero secrets in frontend code or git repo.</w:t>
      </w:r>
    </w:p>
    <w:p>
      <w:pPr>
        <w:pStyle w:val="ListParagraph"/>
        <w:numPr>
          <w:ilvl w:val="0"/>
          <w:numId w:val="2"/>
        </w:numPr>
        <w:spacing w:after="50" w:before="50" w:line="280"/>
      </w:pPr>
      <w:r>
        <w:rPr>
          <w:rFonts w:ascii="Arial" w:cs="Arial" w:eastAsia="Arial" w:hAnsi="Arial"/>
          <w:color w:val="444444"/>
          <w:sz w:val="19"/>
          <w:szCs w:val="19"/>
        </w:rPr>
        <w:t xml:space="preserve">Supabase Row Level Security (RLS) on every table. Automated RLS verification in CI — test user from org B cannot read org A rows.</w:t>
      </w:r>
    </w:p>
    <w:p>
      <w:pPr>
        <w:pStyle w:val="ListParagraph"/>
        <w:numPr>
          <w:ilvl w:val="0"/>
          <w:numId w:val="2"/>
        </w:numPr>
        <w:spacing w:after="50" w:before="50" w:line="280"/>
      </w:pPr>
      <w:r>
        <w:rPr>
          <w:rFonts w:ascii="Arial" w:cs="Arial" w:eastAsia="Arial" w:hAnsi="Arial"/>
          <w:color w:val="444444"/>
          <w:sz w:val="19"/>
          <w:szCs w:val="19"/>
        </w:rPr>
        <w:t xml:space="preserve">All feature gates (tier access) checked at API route level, never client-side. The client is never trusted for access control decisions.</w:t>
      </w:r>
    </w:p>
    <w:p>
      <w:pPr>
        <w:pStyle w:val="ListParagraph"/>
        <w:numPr>
          <w:ilvl w:val="0"/>
          <w:numId w:val="2"/>
        </w:numPr>
        <w:spacing w:after="50" w:before="50" w:line="280"/>
      </w:pPr>
      <w:r>
        <w:rPr>
          <w:rFonts w:ascii="Arial" w:cs="Arial" w:eastAsia="Arial" w:hAnsi="Arial"/>
          <w:color w:val="444444"/>
          <w:sz w:val="19"/>
          <w:szCs w:val="19"/>
        </w:rPr>
        <w:t xml:space="preserve">Penetration test in Phase 1. Red-team review before beta launch.</w:t>
      </w:r>
    </w:p>
    <w:p>
      <w:pPr>
        <w:pStyle w:val="ListParagraph"/>
        <w:numPr>
          <w:ilvl w:val="0"/>
          <w:numId w:val="2"/>
        </w:numPr>
        <w:spacing w:after="50" w:before="50" w:line="280"/>
      </w:pPr>
      <w:r>
        <w:rPr>
          <w:rFonts w:ascii="Arial" w:cs="Arial" w:eastAsia="Arial" w:hAnsi="Arial"/>
          <w:color w:val="444444"/>
          <w:sz w:val="19"/>
          <w:szCs w:val="19"/>
        </w:rPr>
        <w:t xml:space="preserve">Data retention policy: voice memos and uploaded transcripts retained for 90 days (configurable). GDPR-style data-export and data-delete endpoints live before beta.</w:t>
      </w:r>
    </w:p>
    <w:p>
      <w:pPr>
        <w:pStyle w:val="ListParagraph"/>
        <w:numPr>
          <w:ilvl w:val="0"/>
          <w:numId w:val="2"/>
        </w:numPr>
        <w:spacing w:after="50" w:before="50" w:line="280"/>
      </w:pPr>
      <w:r>
        <w:rPr>
          <w:rFonts w:ascii="Arial" w:cs="Arial" w:eastAsia="Arial" w:hAnsi="Arial"/>
          <w:color w:val="444444"/>
          <w:sz w:val="19"/>
          <w:szCs w:val="19"/>
        </w:rPr>
        <w:t xml:space="preserve">Agent outputs (NAO, evaluations, rewrites) stored in Supabase with tenant isolation. No cross-user data leakage possible.</w:t>
      </w:r>
    </w:p>
    <w:p>
      <w:pPr>
        <w:pBdr>
          <w:bottom w:val="single" w:color="2E75B6" w:sz="4" w:space="6"/>
        </w:pBdr>
        <w:spacing w:after="200" w:before="400"/>
      </w:pPr>
      <w:r>
        <w:rPr>
          <w:rFonts w:ascii="Arial" w:cs="Arial" w:eastAsia="Arial" w:hAnsi="Arial"/>
          <w:b/>
          <w:bCs/>
          <w:color w:val="1B3A5C"/>
          <w:sz w:val="26"/>
          <w:szCs w:val="26"/>
        </w:rPr>
        <w:t xml:space="preserve">C8. FILE STRUCTURE</w:t>
      </w:r>
    </w:p>
    <w:p>
      <w:pPr>
        <w:spacing w:after="60" w:before="60" w:line="300"/>
      </w:pPr>
      <w:r>
        <w:rPr>
          <w:rFonts w:ascii="Arial" w:cs="Arial" w:eastAsia="Arial" w:hAnsi="Arial"/>
          <w:color w:val="444444"/>
          <w:sz w:val="20"/>
          <w:szCs w:val="20"/>
        </w:rPr>
        <w:t xml:space="preserve">Key directories and files in the Next.js project:</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Path</w:t>
            </w:r>
          </w:p>
        </w:tc>
        <w:tc>
          <w:tcPr>
            <w:tcW w:type="dxa" w:w="5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/app/(auth)/*</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Auth routes: signup, signin, verify, reset</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/app/(dashboard)/page.tsx</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Student dashboard with module grid</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/app/intake/*</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30-question consultation form</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/app/nao/[id]/page.tsx</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NAO viewer and version history</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/app/editor/[docId]/page.tsx</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TipTap essay editor</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/app/documents/[type]/[docId]/page.tsx</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Module-specific document pages</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/app/comparison/page.tsx</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School comparison view</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/app/cross-doc/page.tsx</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Cross-document intelligence dashboard</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/app/inspector/page.tsx</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Admin observability dashboard</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/app/api/intake/submit/route.ts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Intake submission + Strategy Agent trigger</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/app/api/documents/[docId]/evaluate/route.ts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Full pipeline evaluation</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/app/api/stripe/webhook/route.ts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Stripe webhook handler</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/app/api/cron/gap-analysis/route.ts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Overnight Gap Analysis cron</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/lib/agents/index.ts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Agent abstraction layer + AgentConfig interface</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/lib/agents/strategy.ts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Strategy Agent implementation</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/lib/agents/framework-gate.ts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Framework Gate implementation</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/lib/agents/story-architect.ts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Story Architect (fg + od variants)</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/lib/agents/scoring/*</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4-dimension scoring engine with shared prefix</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/lib/agents/strategic-advisor.ts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Strategic Advisor implementation</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/lib/agents/editing.ts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Editing Agent (fg + od variants)</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/lib/agents/gap-analysis.ts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Gap Analysis Agent</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/lib/agents/resume.ts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Resume Agent</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/lib/agents/rec-letter.ts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Rec Letter Agent + voice scrubber</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/lib/agents/interview.ts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Interview Prep Agent</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/lib/ai/gemini.ts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Gemini API client wrapper with caching + telemetry</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/lib/ai/orchestrator.ts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Pipeline orchestration engine (DAG)</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/lib/ai/spend-cap.ts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Per-user daily spend cap enforcement</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/lib/ai/cache.ts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Redis caching helpers for instruction blocks</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/lib/nao/schema.ts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NAO schema v1 definition + validation</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/lib/nao/versioning.ts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NAO version history + diff helpers</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/lib/schools/signals.ts</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School config loader from Redis</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/lib/rls.ts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RLS enforcement helpers</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/components/editor/*</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TipTap editor + custom extensions</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/components/evaluation/*</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Evaluation results UI components</w:t>
            </w:r>
          </w:p>
        </w:tc>
      </w:tr>
      <w:tr>
        <w:tc>
          <w:tcPr>
            <w:tcW w:type="dxa" w:w="400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/components/dashboard/*</w:t>
            </w:r>
          </w:p>
        </w:tc>
        <w:tc>
          <w:tcPr>
            <w:tcW w:type="dxa" w:w="5360"/>
            <w:tcBorders>
              <w:top w:val="single" w:color="CCCCCC" w:sz="1"/>
              <w:left w:val="single" w:color="CCCCCC" w:sz="1"/>
              <w:bottom w:val="single" w:color="CCCCCC" w:sz="1"/>
              <w:right w:val="single" w:color="CCCCCC" w:sz="1"/>
            </w:tcBorders>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Dashboard + module grid components</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b/>
                <w:bCs/>
                <w:color w:val="333333"/>
                <w:sz w:val="16"/>
                <w:szCs w:val="16"/>
              </w:rPr>
              <w:t xml:space="preserve">/supabase/migrations/*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center"/>
          </w:tcPr>
          <w:p>
            <w:pPr>
              <w:spacing w:after="20" w:before="20"/>
              <w:jc w:val="left"/>
            </w:pPr>
            <w:r>
              <w:rPr>
                <w:rFonts w:ascii="Arial" w:cs="Arial" w:eastAsia="Arial" w:hAnsi="Arial"/>
                <w:color w:val="333333"/>
                <w:sz w:val="16"/>
                <w:szCs w:val="16"/>
              </w:rPr>
              <w:t xml:space="preserve">Schema migrations (versioned)</w:t>
            </w:r>
          </w:p>
        </w:tc>
      </w:tr>
    </w:tbl>
    <w:p>
      <w:pPr>
        <w:spacing w:after="200" w:before="200"/>
      </w:pPr>
    </w:p>
    <w:p>
      <w:pPr>
        <w:pBdr>
          <w:top w:val="single" w:color="2E75B6" w:sz="2" w:space="8"/>
        </w:pBdr>
        <w:spacing w:before="400"/>
      </w:pPr>
    </w:p>
    <w:p>
      <w:pPr>
        <w:spacing w:after="60" w:before="60" w:line="300"/>
      </w:pPr>
      <w:r>
        <w:rPr>
          <w:rFonts w:ascii="Arial" w:cs="Arial" w:eastAsia="Arial" w:hAnsi="Arial"/>
          <w:b/>
          <w:bCs/>
          <w:color w:val="666666"/>
          <w:sz w:val="18"/>
          <w:szCs w:val="18"/>
        </w:rPr>
        <w:t xml:space="preserve">End of BRD + PRD + TRD Document.</w:t>
      </w:r>
    </w:p>
    <w:p>
      <w:pPr>
        <w:spacing w:after="60" w:before="60" w:line="300"/>
      </w:pPr>
      <w:r>
        <w:rPr>
          <w:rFonts w:ascii="Arial" w:cs="Arial" w:eastAsia="Arial" w:hAnsi="Arial"/>
          <w:i/>
          <w:iCs/>
          <w:color w:val="666666"/>
          <w:sz w:val="16"/>
          <w:szCs w:val="16"/>
        </w:rPr>
        <w:t xml:space="preserve">This document should be read alongside: Cost Estimation v3.1, User Workflow &amp; Product Strategy v1.0, Project Plan v3.0, and the Agent Skill Files.</w:t>
      </w:r>
    </w:p>
    <w:p>
      <w:pPr>
        <w:spacing w:after="60" w:before="60" w:line="300"/>
      </w:pPr>
      <w:r>
        <w:rPr>
          <w:rFonts w:ascii="Arial" w:cs="Arial" w:eastAsia="Arial" w:hAnsi="Arial"/>
          <w:i/>
          <w:iCs/>
          <w:color w:val="666666"/>
          <w:sz w:val="16"/>
          <w:szCs w:val="16"/>
        </w:rPr>
        <w:t xml:space="preserve">All implementation to be done in Claude Code using Next.js 14, Google Gemini API, Supabase, and Vercel.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666666"/>
        <w:sz w:val="15"/>
        <w:szCs w:val="15"/>
      </w:rPr>
      <w:t xml:space="preserve">Brilworks Software  ·  Confidential</w:t>
    </w:r>
    <w:r>
      <w:rPr>
        <w:rFonts w:ascii="Arial" w:cs="Arial" w:eastAsia="Arial" w:hAnsi="Arial"/>
        <w:color w:val="666666"/>
        <w:sz w:val="15"/>
        <w:szCs w:val="15"/>
      </w:rPr>
      <w:t xml:space="preserve">	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666666"/>
        <w:sz w:val="16"/>
        <w:szCs w:val="16"/>
      </w:rPr>
      <w:t xml:space="preserve">Admission OS  </w:t>
    </w:r>
    <w:r>
      <w:rPr>
        <w:rFonts w:ascii="Arial" w:cs="Arial" w:eastAsia="Arial" w:hAnsi="Arial"/>
        <w:color w:val="2E75B6"/>
        <w:sz w:val="16"/>
        <w:szCs w:val="16"/>
      </w:rPr>
      <w:t xml:space="preserve">|  BRD + PRD + TRD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2026-04-20T06:49:51.789Z</dcterms:created>
  <dcterms:modified xsi:type="dcterms:W3CDTF">2026-04-20T06:49:51.790Z</dcterms:modified>
</cp:coreProperties>
</file>

<file path=docProps/custom.xml><?xml version="1.0" encoding="utf-8"?>
<Properties xmlns="http://schemas.openxmlformats.org/officeDocument/2006/custom-properties" xmlns:vt="http://schemas.openxmlformats.org/officeDocument/2006/docPropsVTypes"/>
</file>