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1F3A5F"/>
          <w:sz w:val="22"/>
          <w:szCs w:val="22"/>
        </w:rPr>
        <w:t xml:space="preserve">BRILWORKS SOFTWARE LLP</w:t>
      </w:r>
    </w:p>
    <w:p>
      <w:pPr>
        <w:spacing w:after="60" w:before="60"/>
      </w:pPr>
      <w:r>
        <w:rPr>
          <w:rFonts w:ascii="Arial" w:cs="Arial" w:eastAsia="Arial" w:hAnsi="Arial"/>
          <w:color w:val="475569"/>
          <w:sz w:val="22"/>
          <w:szCs w:val="22"/>
        </w:rPr>
        <w:t xml:space="preserve">Champions Longevity</w:t>
      </w:r>
    </w:p>
    <w:p>
      <w:pPr>
        <w:spacing w:after="60" w:before="480"/>
      </w:pPr>
      <w:r>
        <w:rPr>
          <w:rFonts w:ascii="Arial" w:cs="Arial" w:eastAsia="Arial" w:hAnsi="Arial"/>
          <w:b/>
          <w:bCs/>
          <w:color w:val="1F3A5F"/>
          <w:sz w:val="56"/>
          <w:szCs w:val="56"/>
        </w:rPr>
        <w:t xml:space="preserve">Scope of Work</w:t>
      </w:r>
    </w:p>
    <w:p>
      <w:pPr>
        <w:spacing w:after="60" w:before="60"/>
      </w:pPr>
      <w:r>
        <w:rPr>
          <w:rFonts w:ascii="Arial" w:cs="Arial" w:eastAsia="Arial" w:hAnsi="Arial"/>
          <w:color w:val="475569"/>
          <w:sz w:val="28"/>
          <w:szCs w:val="28"/>
        </w:rPr>
        <w:t xml:space="preserve">Lean MVP — Web App, Mobile App &amp; Deployment</w:t>
      </w:r>
    </w:p>
    <w:p>
      <w:pPr>
        <w:spacing w:after="60" w:before="60"/>
      </w:pPr>
      <w:r>
        <w:rPr>
          <w:rFonts w:ascii="Arial" w:cs="Arial" w:eastAsia="Arial" w:hAnsi="Arial"/>
          <w:i/>
          <w:iCs/>
          <w:color w:val="475569"/>
          <w:sz w:val="22"/>
          <w:szCs w:val="22"/>
        </w:rPr>
        <w:t xml:space="preserve">Excluding Ring AIR &amp; CGM Integration</w:t>
      </w:r>
    </w:p>
    <w:p>
      <w:pPr>
        <w:pBdr>
          <w:bottom w:val="single" w:color="1F3A5F" w:sz="12" w:space="1"/>
        </w:pBdr>
        <w:spacing w:after="60" w:before="6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Client</w:t>
            </w:r>
          </w:p>
        </w:tc>
        <w:tc>
          <w:tcPr>
            <w:tcW w:type="dxa" w:w="68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Champions Longevity</w:t>
            </w:r>
          </w:p>
        </w:tc>
      </w:tr>
      <w:tr>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Vendor</w:t>
            </w:r>
          </w:p>
        </w:tc>
        <w:tc>
          <w:tcPr>
            <w:tcW w:type="dxa" w:w="68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Brilworks Software LLP</w:t>
            </w:r>
          </w:p>
        </w:tc>
      </w:tr>
      <w:tr>
        <w:tc>
          <w:tcPr>
            <w:tcW w:type="dxa" w:w="3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Document</w:t>
            </w:r>
          </w:p>
        </w:tc>
        <w:tc>
          <w:tcPr>
            <w:tcW w:type="dxa" w:w="68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Lean MVP Scope of Work (SOW) v1.0</w:t>
            </w:r>
          </w:p>
        </w:tc>
      </w:tr>
      <w:tr>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Prepared</w:t>
            </w:r>
          </w:p>
        </w:tc>
        <w:tc>
          <w:tcPr>
            <w:tcW w:type="dxa" w:w="68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May 18, 2026</w:t>
            </w:r>
          </w:p>
        </w:tc>
      </w:tr>
      <w:tr>
        <w:tc>
          <w:tcPr>
            <w:tcW w:type="dxa" w:w="3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Engagement Model</w:t>
            </w:r>
          </w:p>
        </w:tc>
        <w:tc>
          <w:tcPr>
            <w:tcW w:type="dxa" w:w="68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Fixed Price, milestone-based (30 / 30 / 30 / 10)</w:t>
            </w:r>
          </w:p>
        </w:tc>
      </w:tr>
      <w:tr>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Total Effort</w:t>
            </w:r>
          </w:p>
        </w:tc>
        <w:tc>
          <w:tcPr>
            <w:tcW w:type="dxa" w:w="68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2,000 hours (base 1,572 + 10% PM + ~17% buffer)</w:t>
            </w:r>
          </w:p>
        </w:tc>
      </w:tr>
      <w:tr>
        <w:tc>
          <w:tcPr>
            <w:tcW w:type="dxa" w:w="3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Duration</w:t>
            </w:r>
          </w:p>
        </w:tc>
        <w:tc>
          <w:tcPr>
            <w:tcW w:type="dxa" w:w="68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12 – 14 weeks</w:t>
            </w:r>
          </w:p>
        </w:tc>
      </w:tr>
      <w:tr>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Team Size</w:t>
            </w:r>
          </w:p>
        </w:tc>
        <w:tc>
          <w:tcPr>
            <w:tcW w:type="dxa" w:w="68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5 – 6 engineers</w:t>
            </w:r>
          </w:p>
        </w:tc>
      </w:tr>
      <w:tr>
        <w:tc>
          <w:tcPr>
            <w:tcW w:type="dxa" w:w="3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Total Contract Value</w:t>
            </w:r>
          </w:p>
        </w:tc>
        <w:tc>
          <w:tcPr>
            <w:tcW w:type="dxa" w:w="68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INR ₹45 Lakh – ₹50 Lakh (exclusive of 18% GST)</w:t>
            </w:r>
          </w:p>
        </w:tc>
      </w:tr>
      <w:tr>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bCs/>
                <w:color w:val="1F3A5F"/>
                <w:sz w:val="20"/>
                <w:szCs w:val="20"/>
              </w:rPr>
              <w:t xml:space="preserve">Grand Total (incl. GST)</w:t>
            </w:r>
          </w:p>
        </w:tc>
        <w:tc>
          <w:tcPr>
            <w:tcW w:type="dxa" w:w="68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color w:val="0F172A"/>
                <w:sz w:val="20"/>
                <w:szCs w:val="20"/>
              </w:rPr>
              <w:t xml:space="preserve">INR ₹53.10 Lakh – ₹59.00 Lakh</w:t>
            </w:r>
          </w:p>
        </w:tc>
      </w:tr>
    </w:tbl>
    <w:p>
      <w:r>
        <w:br w:type="page"/>
      </w:r>
    </w:p>
    <w:p>
      <w:pPr>
        <w:pStyle w:val="Heading1"/>
        <w:spacing w:after="200" w:before="360"/>
      </w:pPr>
      <w:r>
        <w:rPr>
          <w:rFonts w:ascii="Arial" w:cs="Arial" w:eastAsia="Arial" w:hAnsi="Arial"/>
          <w:b/>
          <w:bCs/>
          <w:color w:val="1F3A5F"/>
          <w:sz w:val="36"/>
          <w:szCs w:val="36"/>
        </w:rPr>
        <w:t xml:space="preserve">1. Project Overview</w:t>
      </w:r>
    </w:p>
    <w:p>
      <w:pPr>
        <w:spacing w:after="60" w:before="60"/>
      </w:pPr>
      <w:r>
        <w:rPr>
          <w:rFonts w:ascii="Arial" w:cs="Arial" w:eastAsia="Arial" w:hAnsi="Arial"/>
          <w:color w:val="0F172A"/>
          <w:sz w:val="22"/>
          <w:szCs w:val="22"/>
        </w:rPr>
        <w:t xml:space="preserve">Brilworks Software LLP (“Brilworks”, “we”) will design, build, and deploy a Lean MVP of the Champions Longevity platform on behalf of Champions Longevity (“Client”, “you”). The MVP comprises a consumer-facing iOS + Android mobile application, an internal Admin Console (web), backend APIs and services, and production deployment.</w:t>
      </w:r>
    </w:p>
    <w:p>
      <w:pPr>
        <w:spacing w:after="60" w:before="60"/>
      </w:pPr>
      <w:r>
        <w:rPr>
          <w:rFonts w:ascii="Arial" w:cs="Arial" w:eastAsia="Arial" w:hAnsi="Arial"/>
          <w:color w:val="0F172A"/>
          <w:sz w:val="22"/>
          <w:szCs w:val="22"/>
        </w:rPr>
        <w:t xml:space="preserve">The Lean MVP scope is intentionally narrower than the original full-product specification (see Section 11 — “Not Included in This SOW”). It leverages managed services (Supabase), pre-built UI component libraries (NativeBase, shadcn/ui), and hosted payment + AI providers to compress delivery from ~3,100 engineering hours to ~1,572 base hours (1,800–2,000 buffered) — a ~45% reduction.</w:t>
      </w:r>
    </w:p>
    <w:p>
      <w:pPr>
        <w:pStyle w:val="Heading2"/>
        <w:spacing w:after="140" w:before="280"/>
      </w:pPr>
      <w:r>
        <w:rPr>
          <w:rFonts w:ascii="Arial" w:cs="Arial" w:eastAsia="Arial" w:hAnsi="Arial"/>
          <w:b/>
          <w:bCs/>
          <w:color w:val="1F3A5F"/>
          <w:sz w:val="28"/>
          <w:szCs w:val="28"/>
        </w:rPr>
        <w:t xml:space="preserve">1.1 Objectives</w:t>
      </w:r>
    </w:p>
    <w:p>
      <w:pPr>
        <w:pStyle w:val="ListParagraph"/>
        <w:numPr>
          <w:ilvl w:val="0"/>
          <w:numId w:val="2"/>
        </w:numPr>
        <w:spacing w:after="30" w:before="30"/>
      </w:pPr>
      <w:r>
        <w:rPr>
          <w:rFonts w:ascii="Arial" w:cs="Arial" w:eastAsia="Arial" w:hAnsi="Arial"/>
          <w:b/>
          <w:bCs/>
          <w:color w:val="0F172A"/>
          <w:sz w:val="22"/>
          <w:szCs w:val="22"/>
        </w:rPr>
        <w:t xml:space="preserve">Ship a production-grade Lean MVP </w:t>
      </w:r>
      <w:r>
        <w:rPr>
          <w:rFonts w:ascii="Arial" w:cs="Arial" w:eastAsia="Arial" w:hAnsi="Arial"/>
          <w:color w:val="0F172A"/>
          <w:sz w:val="22"/>
          <w:szCs w:val="22"/>
        </w:rPr>
        <w:t xml:space="preserve">of Champions Longevity covering 8 functional modules across mobile + admin + backend.</w:t>
      </w:r>
    </w:p>
    <w:p>
      <w:pPr>
        <w:pStyle w:val="ListParagraph"/>
        <w:numPr>
          <w:ilvl w:val="0"/>
          <w:numId w:val="2"/>
        </w:numPr>
        <w:spacing w:after="30" w:before="30"/>
      </w:pPr>
      <w:r>
        <w:rPr>
          <w:rFonts w:ascii="Arial" w:cs="Arial" w:eastAsia="Arial" w:hAnsi="Arial"/>
          <w:b/>
          <w:bCs/>
          <w:color w:val="0F172A"/>
          <w:sz w:val="22"/>
          <w:szCs w:val="22"/>
        </w:rPr>
        <w:t xml:space="preserve">Validate core product-market fit </w:t>
      </w:r>
      <w:r>
        <w:rPr>
          <w:rFonts w:ascii="Arial" w:cs="Arial" w:eastAsia="Arial" w:hAnsi="Arial"/>
          <w:color w:val="0F172A"/>
          <w:sz w:val="22"/>
          <w:szCs w:val="22"/>
        </w:rPr>
        <w:t xml:space="preserve">with a member-facing experience built on lab diagnostics, therapies, AI coach, and longevity programs.</w:t>
      </w:r>
    </w:p>
    <w:p>
      <w:pPr>
        <w:pStyle w:val="ListParagraph"/>
        <w:numPr>
          <w:ilvl w:val="0"/>
          <w:numId w:val="2"/>
        </w:numPr>
        <w:spacing w:after="30" w:before="30"/>
      </w:pPr>
      <w:r>
        <w:rPr>
          <w:rFonts w:ascii="Arial" w:cs="Arial" w:eastAsia="Arial" w:hAnsi="Arial"/>
          <w:b/>
          <w:bCs/>
          <w:color w:val="0F172A"/>
          <w:sz w:val="22"/>
          <w:szCs w:val="22"/>
        </w:rPr>
        <w:t xml:space="preserve">Defer wearable + device integration </w:t>
      </w:r>
      <w:r>
        <w:rPr>
          <w:rFonts w:ascii="Arial" w:cs="Arial" w:eastAsia="Arial" w:hAnsi="Arial"/>
          <w:color w:val="0F172A"/>
          <w:sz w:val="22"/>
          <w:szCs w:val="22"/>
        </w:rPr>
        <w:t xml:space="preserve">(Ring AIR, CGM) to a follow-on add-on phase — reducing MVP risk and shortening time-to-launch.</w:t>
      </w:r>
    </w:p>
    <w:p>
      <w:pPr>
        <w:pStyle w:val="ListParagraph"/>
        <w:numPr>
          <w:ilvl w:val="0"/>
          <w:numId w:val="2"/>
        </w:numPr>
        <w:spacing w:after="30" w:before="30"/>
      </w:pPr>
      <w:r>
        <w:rPr>
          <w:rFonts w:ascii="Arial" w:cs="Arial" w:eastAsia="Arial" w:hAnsi="Arial"/>
          <w:b/>
          <w:bCs/>
          <w:color w:val="0F172A"/>
          <w:sz w:val="22"/>
          <w:szCs w:val="22"/>
        </w:rPr>
        <w:t xml:space="preserve">Establish a scalable foundation </w:t>
      </w:r>
      <w:r>
        <w:rPr>
          <w:rFonts w:ascii="Arial" w:cs="Arial" w:eastAsia="Arial" w:hAnsi="Arial"/>
          <w:color w:val="0F172A"/>
          <w:sz w:val="22"/>
          <w:szCs w:val="22"/>
        </w:rPr>
        <w:t xml:space="preserve">on Supabase + Node.js + React Native that supports later additions without re-architecture.</w:t>
      </w:r>
    </w:p>
    <w:p>
      <w:pPr>
        <w:pStyle w:val="Heading2"/>
        <w:spacing w:after="140" w:before="280"/>
      </w:pPr>
      <w:r>
        <w:rPr>
          <w:rFonts w:ascii="Arial" w:cs="Arial" w:eastAsia="Arial" w:hAnsi="Arial"/>
          <w:b/>
          <w:bCs/>
          <w:color w:val="1F3A5F"/>
          <w:sz w:val="28"/>
          <w:szCs w:val="28"/>
        </w:rPr>
        <w:t xml:space="preserve">1.2 In-Scope Deliverables</w:t>
      </w:r>
    </w:p>
    <w:p>
      <w:pPr>
        <w:pStyle w:val="ListParagraph"/>
        <w:numPr>
          <w:ilvl w:val="0"/>
          <w:numId w:val="2"/>
        </w:numPr>
        <w:spacing w:after="30" w:before="30"/>
      </w:pPr>
      <w:r>
        <w:rPr>
          <w:rFonts w:ascii="Arial" w:cs="Arial" w:eastAsia="Arial" w:hAnsi="Arial"/>
          <w:b/>
          <w:bCs/>
          <w:color w:val="0F172A"/>
          <w:sz w:val="22"/>
          <w:szCs w:val="22"/>
        </w:rPr>
        <w:t xml:space="preserve">Mobile App (iOS + Android) </w:t>
      </w:r>
      <w:r>
        <w:rPr>
          <w:rFonts w:ascii="Arial" w:cs="Arial" w:eastAsia="Arial" w:hAnsi="Arial"/>
          <w:color w:val="0F172A"/>
          <w:sz w:val="22"/>
          <w:szCs w:val="22"/>
        </w:rPr>
        <w:t xml:space="preserve">— React Native + NativeBase, all user-facing screens, state management, navigation.</w:t>
      </w:r>
    </w:p>
    <w:p>
      <w:pPr>
        <w:pStyle w:val="ListParagraph"/>
        <w:numPr>
          <w:ilvl w:val="0"/>
          <w:numId w:val="2"/>
        </w:numPr>
        <w:spacing w:after="30" w:before="30"/>
      </w:pPr>
      <w:r>
        <w:rPr>
          <w:rFonts w:ascii="Arial" w:cs="Arial" w:eastAsia="Arial" w:hAnsi="Arial"/>
          <w:b/>
          <w:bCs/>
          <w:color w:val="0F172A"/>
          <w:sz w:val="22"/>
          <w:szCs w:val="22"/>
        </w:rPr>
        <w:t xml:space="preserve">Admin Console (Web) </w:t>
      </w:r>
      <w:r>
        <w:rPr>
          <w:rFonts w:ascii="Arial" w:cs="Arial" w:eastAsia="Arial" w:hAnsi="Arial"/>
          <w:color w:val="0F172A"/>
          <w:sz w:val="22"/>
          <w:szCs w:val="22"/>
        </w:rPr>
        <w:t xml:space="preserve">— Next.js 14 + shadcn/ui + Tailwind, essential CRUD panels for diagnostics, therapies, programs, prompts.</w:t>
      </w:r>
    </w:p>
    <w:p>
      <w:pPr>
        <w:pStyle w:val="ListParagraph"/>
        <w:numPr>
          <w:ilvl w:val="0"/>
          <w:numId w:val="2"/>
        </w:numPr>
        <w:spacing w:after="30" w:before="30"/>
      </w:pPr>
      <w:r>
        <w:rPr>
          <w:rFonts w:ascii="Arial" w:cs="Arial" w:eastAsia="Arial" w:hAnsi="Arial"/>
          <w:b/>
          <w:bCs/>
          <w:color w:val="0F172A"/>
          <w:sz w:val="22"/>
          <w:szCs w:val="22"/>
        </w:rPr>
        <w:t xml:space="preserve">Backend APIs &amp; Services </w:t>
      </w:r>
      <w:r>
        <w:rPr>
          <w:rFonts w:ascii="Arial" w:cs="Arial" w:eastAsia="Arial" w:hAnsi="Arial"/>
          <w:color w:val="0F172A"/>
          <w:sz w:val="22"/>
          <w:szCs w:val="22"/>
        </w:rPr>
        <w:t xml:space="preserve">— Supabase (Auth, Postgres, Storage, Realtime) + Node.js / Next.js API routes, biomarker engine, booking, AI integration.</w:t>
      </w:r>
    </w:p>
    <w:p>
      <w:pPr>
        <w:pStyle w:val="ListParagraph"/>
        <w:numPr>
          <w:ilvl w:val="0"/>
          <w:numId w:val="2"/>
        </w:numPr>
        <w:spacing w:after="30" w:before="30"/>
      </w:pPr>
      <w:r>
        <w:rPr>
          <w:rFonts w:ascii="Arial" w:cs="Arial" w:eastAsia="Arial" w:hAnsi="Arial"/>
          <w:b/>
          <w:bCs/>
          <w:color w:val="0F172A"/>
          <w:sz w:val="22"/>
          <w:szCs w:val="22"/>
        </w:rPr>
        <w:t xml:space="preserve">DevOps &amp; Deployment </w:t>
      </w:r>
      <w:r>
        <w:rPr>
          <w:rFonts w:ascii="Arial" w:cs="Arial" w:eastAsia="Arial" w:hAnsi="Arial"/>
          <w:color w:val="0F172A"/>
          <w:sz w:val="22"/>
          <w:szCs w:val="22"/>
        </w:rPr>
        <w:t xml:space="preserve">— Docker, GitHub Actions CI/CD, Railway/Fly.io or Vercel + Supabase hosting, App Store + Play Store submissions.</w:t>
      </w:r>
    </w:p>
    <w:p>
      <w:pPr>
        <w:pStyle w:val="ListParagraph"/>
        <w:numPr>
          <w:ilvl w:val="0"/>
          <w:numId w:val="2"/>
        </w:numPr>
        <w:spacing w:after="30" w:before="30"/>
      </w:pPr>
      <w:r>
        <w:rPr>
          <w:rFonts w:ascii="Arial" w:cs="Arial" w:eastAsia="Arial" w:hAnsi="Arial"/>
          <w:b/>
          <w:bCs/>
          <w:color w:val="0F172A"/>
          <w:sz w:val="22"/>
          <w:szCs w:val="22"/>
        </w:rPr>
        <w:t xml:space="preserve">Testing &amp; QA </w:t>
      </w:r>
      <w:r>
        <w:rPr>
          <w:rFonts w:ascii="Arial" w:cs="Arial" w:eastAsia="Arial" w:hAnsi="Arial"/>
          <w:color w:val="0F172A"/>
          <w:sz w:val="22"/>
          <w:szCs w:val="22"/>
        </w:rPr>
        <w:t xml:space="preserve">— manual + critical-path automation, happy-path verification across all modules.</w:t>
      </w:r>
    </w:p>
    <w:p>
      <w:r>
        <w:br w:type="page"/>
      </w:r>
    </w:p>
    <w:p>
      <w:pPr>
        <w:pStyle w:val="Heading1"/>
        <w:spacing w:after="200" w:before="360"/>
      </w:pPr>
      <w:r>
        <w:rPr>
          <w:rFonts w:ascii="Arial" w:cs="Arial" w:eastAsia="Arial" w:hAnsi="Arial"/>
          <w:b/>
          <w:bCs/>
          <w:color w:val="1F3A5F"/>
          <w:sz w:val="36"/>
          <w:szCs w:val="36"/>
        </w:rPr>
        <w:t xml:space="preserve">2. Modules &amp; Detailed Scope</w:t>
      </w:r>
    </w:p>
    <w:p>
      <w:pPr>
        <w:spacing w:after="60" w:before="60"/>
      </w:pPr>
      <w:r>
        <w:rPr>
          <w:rFonts w:ascii="Arial" w:cs="Arial" w:eastAsia="Arial" w:hAnsi="Arial"/>
          <w:color w:val="0F172A"/>
          <w:sz w:val="22"/>
          <w:szCs w:val="22"/>
        </w:rPr>
        <w:t xml:space="preserve">The MVP comprises 8 functional modules totaling 1,572 base engineering hours. Each module is delivered as a vertical slice including frontend, backend, and integration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80"/>
        <w:gridCol w:w="1800"/>
      </w:tblGrid>
      <w:tr>
        <w:tc>
          <w:tcPr>
            <w:tcW w:type="dxa" w:w="8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Module 2.1 — Infrastructure &amp; Auth</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120 hrs</w:t>
            </w:r>
          </w:p>
        </w:tc>
      </w:tr>
      <w:tr>
        <w:tc>
          <w:tcPr>
            <w:tcW w:type="dxa" w:w="10080"/>
            <w:gridSpan w:val="2"/>
            <w:tcBorders>
              <w:top w:val="single" w:color="CBD5E1" w:sz="6"/>
              <w:left w:val="single" w:color="CBD5E1" w:sz="6"/>
              <w:bottom w:val="single" w:color="CBD5E1" w:sz="6"/>
              <w:right w:val="single" w:color="CBD5E1" w:sz="6"/>
            </w:tcBorders>
            <w:shd w:fill="F8FAFC" w:val="clear"/>
            <w:tcMar>
              <w:top w:type="dxa" w:w="120"/>
              <w:left w:type="dxa" w:w="160"/>
              <w:bottom w:type="dxa" w:w="120"/>
              <w:right w:type="dxa" w:w="160"/>
            </w:tcMar>
          </w:tcPr>
          <w:p>
            <w:pPr>
              <w:spacing w:after="30" w:before="30"/>
            </w:pPr>
            <w:r>
              <w:rPr>
                <w:rFonts w:ascii="Arial" w:cs="Arial" w:eastAsia="Arial" w:hAnsi="Arial"/>
                <w:b/>
                <w:bCs/>
                <w:color w:val="1F3A5F"/>
                <w:sz w:val="20"/>
                <w:szCs w:val="20"/>
              </w:rPr>
              <w:t xml:space="preserve">Scope: </w:t>
            </w:r>
            <w:r>
              <w:rPr>
                <w:rFonts w:ascii="Arial" w:cs="Arial" w:eastAsia="Arial" w:hAnsi="Arial"/>
                <w:color w:val="0F172A"/>
                <w:sz w:val="20"/>
                <w:szCs w:val="20"/>
              </w:rPr>
              <w:t xml:space="preserve">Supabase Auth (Email+OTP, Google, Apple SSO), onboarding flow (4 screens), simplified RBAC (4 roles — Admin, Physician, Provider, Member), PostgreSQL schema, Node.js/Next.js API routes, Supabase Storage, FCM push + Resend email notifications, GitHub Actions CI/CD with Docker.</w:t>
            </w:r>
          </w:p>
        </w:tc>
      </w:tr>
      <w:tr>
        <w:tc>
          <w:tcPr>
            <w:tcW w:type="dxa" w:w="10080"/>
            <w:gridSpan w:val="2"/>
            <w:tcBorders>
              <w:top w:val="single" w:color="CBD5E1" w:sz="6"/>
              <w:left w:val="single" w:color="CBD5E1" w:sz="6"/>
              <w:bottom w:val="single" w:color="CBD5E1" w:sz="6"/>
              <w:right w:val="single" w:color="CBD5E1" w:sz="6"/>
            </w:tcBorders>
            <w:tcMar>
              <w:top w:type="dxa" w:w="80"/>
              <w:left w:type="dxa" w:w="160"/>
              <w:bottom w:type="dxa" w:w="80"/>
              <w:right w:type="dxa" w:w="160"/>
            </w:tcMar>
          </w:tcPr>
          <w:p>
            <w:pPr>
              <w:spacing w:after="30" w:before="30"/>
            </w:pPr>
            <w:r>
              <w:rPr>
                <w:rFonts w:ascii="Arial" w:cs="Arial" w:eastAsia="Arial" w:hAnsi="Arial"/>
                <w:b/>
                <w:bCs/>
                <w:color w:val="1F3A5F"/>
                <w:sz w:val="20"/>
                <w:szCs w:val="20"/>
              </w:rPr>
              <w:t xml:space="preserve">Frontend </w:t>
            </w:r>
            <w:r>
              <w:rPr>
                <w:rFonts w:ascii="Arial" w:cs="Arial" w:eastAsia="Arial" w:hAnsi="Arial"/>
                <w:color w:val="0F172A"/>
                <w:sz w:val="20"/>
                <w:szCs w:val="20"/>
              </w:rPr>
              <w:t xml:space="preserve">36 hrs   •   </w:t>
            </w:r>
            <w:r>
              <w:rPr>
                <w:rFonts w:ascii="Arial" w:cs="Arial" w:eastAsia="Arial" w:hAnsi="Arial"/>
                <w:b/>
                <w:bCs/>
                <w:color w:val="1F3A5F"/>
                <w:sz w:val="20"/>
                <w:szCs w:val="20"/>
              </w:rPr>
              <w:t xml:space="preserve">Backend </w:t>
            </w:r>
            <w:r>
              <w:rPr>
                <w:rFonts w:ascii="Arial" w:cs="Arial" w:eastAsia="Arial" w:hAnsi="Arial"/>
                <w:color w:val="0F172A"/>
                <w:sz w:val="20"/>
                <w:szCs w:val="20"/>
              </w:rPr>
              <w:t xml:space="preserve">84 hrs   •   </w:t>
            </w:r>
            <w:r>
              <w:rPr>
                <w:rFonts w:ascii="Arial" w:cs="Arial" w:eastAsia="Arial" w:hAnsi="Arial"/>
                <w:b/>
                <w:bCs/>
                <w:color w:val="1F3A5F"/>
                <w:sz w:val="20"/>
                <w:szCs w:val="20"/>
              </w:rPr>
              <w:t xml:space="preserve">Total </w:t>
            </w:r>
            <w:r>
              <w:rPr>
                <w:rFonts w:ascii="Arial" w:cs="Arial" w:eastAsia="Arial" w:hAnsi="Arial"/>
                <w:color w:val="0F172A"/>
                <w:sz w:val="20"/>
                <w:szCs w:val="20"/>
              </w:rPr>
              <w:t xml:space="preserve">120 hrs</w:t>
            </w:r>
          </w:p>
        </w:tc>
      </w:tr>
    </w:tbl>
    <w:p>
      <w:pPr>
        <w:spacing w:after="60" w:before="6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80"/>
        <w:gridCol w:w="1800"/>
      </w:tblGrid>
      <w:tr>
        <w:tc>
          <w:tcPr>
            <w:tcW w:type="dxa" w:w="8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Module 2.2 — Diagnostics Hub</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280 hrs</w:t>
            </w:r>
          </w:p>
        </w:tc>
      </w:tr>
      <w:tr>
        <w:tc>
          <w:tcPr>
            <w:tcW w:type="dxa" w:w="10080"/>
            <w:gridSpan w:val="2"/>
            <w:tcBorders>
              <w:top w:val="single" w:color="CBD5E1" w:sz="6"/>
              <w:left w:val="single" w:color="CBD5E1" w:sz="6"/>
              <w:bottom w:val="single" w:color="CBD5E1" w:sz="6"/>
              <w:right w:val="single" w:color="CBD5E1" w:sz="6"/>
            </w:tcBorders>
            <w:shd w:fill="F8FAFC" w:val="clear"/>
            <w:tcMar>
              <w:top w:type="dxa" w:w="120"/>
              <w:left w:type="dxa" w:w="160"/>
              <w:bottom w:type="dxa" w:w="120"/>
              <w:right w:type="dxa" w:w="160"/>
            </w:tcMar>
          </w:tcPr>
          <w:p>
            <w:pPr>
              <w:spacing w:after="30" w:before="30"/>
            </w:pPr>
            <w:r>
              <w:rPr>
                <w:rFonts w:ascii="Arial" w:cs="Arial" w:eastAsia="Arial" w:hAnsi="Arial"/>
                <w:b/>
                <w:bCs/>
                <w:color w:val="1F3A5F"/>
                <w:sz w:val="20"/>
                <w:szCs w:val="20"/>
              </w:rPr>
              <w:t xml:space="preserve">Scope: </w:t>
            </w:r>
            <w:r>
              <w:rPr>
                <w:rFonts w:ascii="Arial" w:cs="Arial" w:eastAsia="Arial" w:hAnsi="Arial"/>
                <w:color w:val="0F172A"/>
                <w:sz w:val="20"/>
                <w:szCs w:val="20"/>
              </w:rPr>
              <w:t xml:space="preserve">Simplified biomarker engine (weighted scoring), reference ranges CRUD, lab result upload (CSV + manual entry; PDF OCR deferred), 6-system diagnostic profile UI with score cards, single-method biological age calculation, scheduled diagnostics with reminders, physician queue with basic admin views.</w:t>
            </w:r>
          </w:p>
        </w:tc>
      </w:tr>
      <w:tr>
        <w:tc>
          <w:tcPr>
            <w:tcW w:type="dxa" w:w="10080"/>
            <w:gridSpan w:val="2"/>
            <w:tcBorders>
              <w:top w:val="single" w:color="CBD5E1" w:sz="6"/>
              <w:left w:val="single" w:color="CBD5E1" w:sz="6"/>
              <w:bottom w:val="single" w:color="CBD5E1" w:sz="6"/>
              <w:right w:val="single" w:color="CBD5E1" w:sz="6"/>
            </w:tcBorders>
            <w:tcMar>
              <w:top w:type="dxa" w:w="80"/>
              <w:left w:type="dxa" w:w="160"/>
              <w:bottom w:type="dxa" w:w="80"/>
              <w:right w:type="dxa" w:w="160"/>
            </w:tcMar>
          </w:tcPr>
          <w:p>
            <w:pPr>
              <w:spacing w:after="30" w:before="30"/>
            </w:pPr>
            <w:r>
              <w:rPr>
                <w:rFonts w:ascii="Arial" w:cs="Arial" w:eastAsia="Arial" w:hAnsi="Arial"/>
                <w:b/>
                <w:bCs/>
                <w:color w:val="1F3A5F"/>
                <w:sz w:val="20"/>
                <w:szCs w:val="20"/>
              </w:rPr>
              <w:t xml:space="preserve">Frontend </w:t>
            </w:r>
            <w:r>
              <w:rPr>
                <w:rFonts w:ascii="Arial" w:cs="Arial" w:eastAsia="Arial" w:hAnsi="Arial"/>
                <w:color w:val="0F172A"/>
                <w:sz w:val="20"/>
                <w:szCs w:val="20"/>
              </w:rPr>
              <w:t xml:space="preserve">128 hrs   •   </w:t>
            </w:r>
            <w:r>
              <w:rPr>
                <w:rFonts w:ascii="Arial" w:cs="Arial" w:eastAsia="Arial" w:hAnsi="Arial"/>
                <w:b/>
                <w:bCs/>
                <w:color w:val="1F3A5F"/>
                <w:sz w:val="20"/>
                <w:szCs w:val="20"/>
              </w:rPr>
              <w:t xml:space="preserve">Backend </w:t>
            </w:r>
            <w:r>
              <w:rPr>
                <w:rFonts w:ascii="Arial" w:cs="Arial" w:eastAsia="Arial" w:hAnsi="Arial"/>
                <w:color w:val="0F172A"/>
                <w:sz w:val="20"/>
                <w:szCs w:val="20"/>
              </w:rPr>
              <w:t xml:space="preserve">152 hrs   •   </w:t>
            </w:r>
            <w:r>
              <w:rPr>
                <w:rFonts w:ascii="Arial" w:cs="Arial" w:eastAsia="Arial" w:hAnsi="Arial"/>
                <w:b/>
                <w:bCs/>
                <w:color w:val="1F3A5F"/>
                <w:sz w:val="20"/>
                <w:szCs w:val="20"/>
              </w:rPr>
              <w:t xml:space="preserve">Total </w:t>
            </w:r>
            <w:r>
              <w:rPr>
                <w:rFonts w:ascii="Arial" w:cs="Arial" w:eastAsia="Arial" w:hAnsi="Arial"/>
                <w:color w:val="0F172A"/>
                <w:sz w:val="20"/>
                <w:szCs w:val="20"/>
              </w:rPr>
              <w:t xml:space="preserve">280 hrs</w:t>
            </w:r>
          </w:p>
        </w:tc>
      </w:tr>
    </w:tbl>
    <w:p>
      <w:pPr>
        <w:spacing w:after="60" w:before="6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80"/>
        <w:gridCol w:w="1800"/>
      </w:tblGrid>
      <w:tr>
        <w:tc>
          <w:tcPr>
            <w:tcW w:type="dxa" w:w="8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Module 2.3 — Therapies Module</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260 hrs</w:t>
            </w:r>
          </w:p>
        </w:tc>
      </w:tr>
      <w:tr>
        <w:tc>
          <w:tcPr>
            <w:tcW w:type="dxa" w:w="10080"/>
            <w:gridSpan w:val="2"/>
            <w:tcBorders>
              <w:top w:val="single" w:color="CBD5E1" w:sz="6"/>
              <w:left w:val="single" w:color="CBD5E1" w:sz="6"/>
              <w:bottom w:val="single" w:color="CBD5E1" w:sz="6"/>
              <w:right w:val="single" w:color="CBD5E1" w:sz="6"/>
            </w:tcBorders>
            <w:shd w:fill="F8FAFC" w:val="clear"/>
            <w:tcMar>
              <w:top w:type="dxa" w:w="120"/>
              <w:left w:type="dxa" w:w="160"/>
              <w:bottom w:type="dxa" w:w="120"/>
              <w:right w:type="dxa" w:w="160"/>
            </w:tcMar>
          </w:tcPr>
          <w:p>
            <w:pPr>
              <w:spacing w:after="30" w:before="30"/>
            </w:pPr>
            <w:r>
              <w:rPr>
                <w:rFonts w:ascii="Arial" w:cs="Arial" w:eastAsia="Arial" w:hAnsi="Arial"/>
                <w:b/>
                <w:bCs/>
                <w:color w:val="1F3A5F"/>
                <w:sz w:val="20"/>
                <w:szCs w:val="20"/>
              </w:rPr>
              <w:t xml:space="preserve">Scope: </w:t>
            </w:r>
            <w:r>
              <w:rPr>
                <w:rFonts w:ascii="Arial" w:cs="Arial" w:eastAsia="Arial" w:hAnsi="Arial"/>
                <w:color w:val="0F172A"/>
                <w:sz w:val="20"/>
                <w:szCs w:val="20"/>
              </w:rPr>
              <w:t xml:space="preserve">Therapy catalog (list + detail cards), simplified booking with time-slot picker (no waitlist / conflict resolution), Razorpay hosted checkout with webhook integration, provider session flow (mark complete + notes), rule-based recommendation engine (no ML), admin CRUD for catalog + pricing.</w:t>
            </w:r>
          </w:p>
        </w:tc>
      </w:tr>
      <w:tr>
        <w:tc>
          <w:tcPr>
            <w:tcW w:type="dxa" w:w="10080"/>
            <w:gridSpan w:val="2"/>
            <w:tcBorders>
              <w:top w:val="single" w:color="CBD5E1" w:sz="6"/>
              <w:left w:val="single" w:color="CBD5E1" w:sz="6"/>
              <w:bottom w:val="single" w:color="CBD5E1" w:sz="6"/>
              <w:right w:val="single" w:color="CBD5E1" w:sz="6"/>
            </w:tcBorders>
            <w:tcMar>
              <w:top w:type="dxa" w:w="80"/>
              <w:left w:type="dxa" w:w="160"/>
              <w:bottom w:type="dxa" w:w="80"/>
              <w:right w:type="dxa" w:w="160"/>
            </w:tcMar>
          </w:tcPr>
          <w:p>
            <w:pPr>
              <w:spacing w:after="30" w:before="30"/>
            </w:pPr>
            <w:r>
              <w:rPr>
                <w:rFonts w:ascii="Arial" w:cs="Arial" w:eastAsia="Arial" w:hAnsi="Arial"/>
                <w:b/>
                <w:bCs/>
                <w:color w:val="1F3A5F"/>
                <w:sz w:val="20"/>
                <w:szCs w:val="20"/>
              </w:rPr>
              <w:t xml:space="preserve">Frontend </w:t>
            </w:r>
            <w:r>
              <w:rPr>
                <w:rFonts w:ascii="Arial" w:cs="Arial" w:eastAsia="Arial" w:hAnsi="Arial"/>
                <w:color w:val="0F172A"/>
                <w:sz w:val="20"/>
                <w:szCs w:val="20"/>
              </w:rPr>
              <w:t xml:space="preserve">132 hrs   •   </w:t>
            </w:r>
            <w:r>
              <w:rPr>
                <w:rFonts w:ascii="Arial" w:cs="Arial" w:eastAsia="Arial" w:hAnsi="Arial"/>
                <w:b/>
                <w:bCs/>
                <w:color w:val="1F3A5F"/>
                <w:sz w:val="20"/>
                <w:szCs w:val="20"/>
              </w:rPr>
              <w:t xml:space="preserve">Backend </w:t>
            </w:r>
            <w:r>
              <w:rPr>
                <w:rFonts w:ascii="Arial" w:cs="Arial" w:eastAsia="Arial" w:hAnsi="Arial"/>
                <w:color w:val="0F172A"/>
                <w:sz w:val="20"/>
                <w:szCs w:val="20"/>
              </w:rPr>
              <w:t xml:space="preserve">128 hrs   •   </w:t>
            </w:r>
            <w:r>
              <w:rPr>
                <w:rFonts w:ascii="Arial" w:cs="Arial" w:eastAsia="Arial" w:hAnsi="Arial"/>
                <w:b/>
                <w:bCs/>
                <w:color w:val="1F3A5F"/>
                <w:sz w:val="20"/>
                <w:szCs w:val="20"/>
              </w:rPr>
              <w:t xml:space="preserve">Total </w:t>
            </w:r>
            <w:r>
              <w:rPr>
                <w:rFonts w:ascii="Arial" w:cs="Arial" w:eastAsia="Arial" w:hAnsi="Arial"/>
                <w:color w:val="0F172A"/>
                <w:sz w:val="20"/>
                <w:szCs w:val="20"/>
              </w:rPr>
              <w:t xml:space="preserve">260 hrs</w:t>
            </w:r>
          </w:p>
        </w:tc>
      </w:tr>
    </w:tbl>
    <w:p>
      <w:pPr>
        <w:spacing w:after="60" w:before="6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80"/>
        <w:gridCol w:w="1800"/>
      </w:tblGrid>
      <w:tr>
        <w:tc>
          <w:tcPr>
            <w:tcW w:type="dxa" w:w="8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Module 2.4 — CHAMP AI Coach</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200 hrs</w:t>
            </w:r>
          </w:p>
        </w:tc>
      </w:tr>
      <w:tr>
        <w:tc>
          <w:tcPr>
            <w:tcW w:type="dxa" w:w="10080"/>
            <w:gridSpan w:val="2"/>
            <w:tcBorders>
              <w:top w:val="single" w:color="CBD5E1" w:sz="6"/>
              <w:left w:val="single" w:color="CBD5E1" w:sz="6"/>
              <w:bottom w:val="single" w:color="CBD5E1" w:sz="6"/>
              <w:right w:val="single" w:color="CBD5E1" w:sz="6"/>
            </w:tcBorders>
            <w:shd w:fill="F8FAFC" w:val="clear"/>
            <w:tcMar>
              <w:top w:type="dxa" w:w="120"/>
              <w:left w:type="dxa" w:w="160"/>
              <w:bottom w:type="dxa" w:w="120"/>
              <w:right w:type="dxa" w:w="160"/>
            </w:tcMar>
          </w:tcPr>
          <w:p>
            <w:pPr>
              <w:spacing w:after="30" w:before="30"/>
            </w:pPr>
            <w:r>
              <w:rPr>
                <w:rFonts w:ascii="Arial" w:cs="Arial" w:eastAsia="Arial" w:hAnsi="Arial"/>
                <w:b/>
                <w:bCs/>
                <w:color w:val="1F3A5F"/>
                <w:sz w:val="20"/>
                <w:szCs w:val="20"/>
              </w:rPr>
              <w:t xml:space="preserve">Scope: </w:t>
            </w:r>
            <w:r>
              <w:rPr>
                <w:rFonts w:ascii="Arial" w:cs="Arial" w:eastAsia="Arial" w:hAnsi="Arial"/>
                <w:color w:val="0F172A"/>
                <w:sz w:val="20"/>
                <w:szCs w:val="20"/>
              </w:rPr>
              <w:t xml:space="preserve">Vercel AI SDK chat UI (built-in streaming), OpenAI API integration with simple RAG context assembly, 3–4 core prompt templates, weekly auto-generated health narrative (cron-triggered), basic safety guardrails (blocklist + disclaimers), prompt template editor in admin, daily AI insight card on home screen.</w:t>
            </w:r>
          </w:p>
        </w:tc>
      </w:tr>
      <w:tr>
        <w:tc>
          <w:tcPr>
            <w:tcW w:type="dxa" w:w="10080"/>
            <w:gridSpan w:val="2"/>
            <w:tcBorders>
              <w:top w:val="single" w:color="CBD5E1" w:sz="6"/>
              <w:left w:val="single" w:color="CBD5E1" w:sz="6"/>
              <w:bottom w:val="single" w:color="CBD5E1" w:sz="6"/>
              <w:right w:val="single" w:color="CBD5E1" w:sz="6"/>
            </w:tcBorders>
            <w:tcMar>
              <w:top w:type="dxa" w:w="80"/>
              <w:left w:type="dxa" w:w="160"/>
              <w:bottom w:type="dxa" w:w="80"/>
              <w:right w:type="dxa" w:w="160"/>
            </w:tcMar>
          </w:tcPr>
          <w:p>
            <w:pPr>
              <w:spacing w:after="30" w:before="30"/>
            </w:pPr>
            <w:r>
              <w:rPr>
                <w:rFonts w:ascii="Arial" w:cs="Arial" w:eastAsia="Arial" w:hAnsi="Arial"/>
                <w:b/>
                <w:bCs/>
                <w:color w:val="1F3A5F"/>
                <w:sz w:val="20"/>
                <w:szCs w:val="20"/>
              </w:rPr>
              <w:t xml:space="preserve">Frontend </w:t>
            </w:r>
            <w:r>
              <w:rPr>
                <w:rFonts w:ascii="Arial" w:cs="Arial" w:eastAsia="Arial" w:hAnsi="Arial"/>
                <w:color w:val="0F172A"/>
                <w:sz w:val="20"/>
                <w:szCs w:val="20"/>
              </w:rPr>
              <w:t xml:space="preserve">68 hrs   •   </w:t>
            </w:r>
            <w:r>
              <w:rPr>
                <w:rFonts w:ascii="Arial" w:cs="Arial" w:eastAsia="Arial" w:hAnsi="Arial"/>
                <w:b/>
                <w:bCs/>
                <w:color w:val="1F3A5F"/>
                <w:sz w:val="20"/>
                <w:szCs w:val="20"/>
              </w:rPr>
              <w:t xml:space="preserve">Backend </w:t>
            </w:r>
            <w:r>
              <w:rPr>
                <w:rFonts w:ascii="Arial" w:cs="Arial" w:eastAsia="Arial" w:hAnsi="Arial"/>
                <w:color w:val="0F172A"/>
                <w:sz w:val="20"/>
                <w:szCs w:val="20"/>
              </w:rPr>
              <w:t xml:space="preserve">132 hrs   •   </w:t>
            </w:r>
            <w:r>
              <w:rPr>
                <w:rFonts w:ascii="Arial" w:cs="Arial" w:eastAsia="Arial" w:hAnsi="Arial"/>
                <w:b/>
                <w:bCs/>
                <w:color w:val="1F3A5F"/>
                <w:sz w:val="20"/>
                <w:szCs w:val="20"/>
              </w:rPr>
              <w:t xml:space="preserve">Total </w:t>
            </w:r>
            <w:r>
              <w:rPr>
                <w:rFonts w:ascii="Arial" w:cs="Arial" w:eastAsia="Arial" w:hAnsi="Arial"/>
                <w:color w:val="0F172A"/>
                <w:sz w:val="20"/>
                <w:szCs w:val="20"/>
              </w:rPr>
              <w:t xml:space="preserve">200 hrs</w:t>
            </w:r>
          </w:p>
        </w:tc>
      </w:tr>
    </w:tbl>
    <w:p>
      <w:pPr>
        <w:spacing w:after="60" w:before="6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80"/>
        <w:gridCol w:w="1800"/>
      </w:tblGrid>
      <w:tr>
        <w:tc>
          <w:tcPr>
            <w:tcW w:type="dxa" w:w="8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Module 2.5 — Programs Module</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220 hrs</w:t>
            </w:r>
          </w:p>
        </w:tc>
      </w:tr>
      <w:tr>
        <w:tc>
          <w:tcPr>
            <w:tcW w:type="dxa" w:w="10080"/>
            <w:gridSpan w:val="2"/>
            <w:tcBorders>
              <w:top w:val="single" w:color="CBD5E1" w:sz="6"/>
              <w:left w:val="single" w:color="CBD5E1" w:sz="6"/>
              <w:bottom w:val="single" w:color="CBD5E1" w:sz="6"/>
              <w:right w:val="single" w:color="CBD5E1" w:sz="6"/>
            </w:tcBorders>
            <w:shd w:fill="F8FAFC" w:val="clear"/>
            <w:tcMar>
              <w:top w:type="dxa" w:w="120"/>
              <w:left w:type="dxa" w:w="160"/>
              <w:bottom w:type="dxa" w:w="120"/>
              <w:right w:type="dxa" w:w="160"/>
            </w:tcMar>
          </w:tcPr>
          <w:p>
            <w:pPr>
              <w:spacing w:after="30" w:before="30"/>
            </w:pPr>
            <w:r>
              <w:rPr>
                <w:rFonts w:ascii="Arial" w:cs="Arial" w:eastAsia="Arial" w:hAnsi="Arial"/>
                <w:b/>
                <w:bCs/>
                <w:color w:val="1F3A5F"/>
                <w:sz w:val="20"/>
                <w:szCs w:val="20"/>
              </w:rPr>
              <w:t xml:space="preserve">Scope: </w:t>
            </w:r>
            <w:r>
              <w:rPr>
                <w:rFonts w:ascii="Arial" w:cs="Arial" w:eastAsia="Arial" w:hAnsi="Arial"/>
                <w:color w:val="0F172A"/>
                <w:sz w:val="20"/>
                <w:szCs w:val="20"/>
              </w:rPr>
              <w:t xml:space="preserve">Program catalog + enrollment flow, progress tracking UI with milestones, phase-based program engine with daily plan (not full state machine), basic before/after outcome analytics, admin program structure builder with shadcn/ui forms.</w:t>
            </w:r>
          </w:p>
        </w:tc>
      </w:tr>
      <w:tr>
        <w:tc>
          <w:tcPr>
            <w:tcW w:type="dxa" w:w="10080"/>
            <w:gridSpan w:val="2"/>
            <w:tcBorders>
              <w:top w:val="single" w:color="CBD5E1" w:sz="6"/>
              <w:left w:val="single" w:color="CBD5E1" w:sz="6"/>
              <w:bottom w:val="single" w:color="CBD5E1" w:sz="6"/>
              <w:right w:val="single" w:color="CBD5E1" w:sz="6"/>
            </w:tcBorders>
            <w:tcMar>
              <w:top w:type="dxa" w:w="80"/>
              <w:left w:type="dxa" w:w="160"/>
              <w:bottom w:type="dxa" w:w="80"/>
              <w:right w:type="dxa" w:w="160"/>
            </w:tcMar>
          </w:tcPr>
          <w:p>
            <w:pPr>
              <w:spacing w:after="30" w:before="30"/>
            </w:pPr>
            <w:r>
              <w:rPr>
                <w:rFonts w:ascii="Arial" w:cs="Arial" w:eastAsia="Arial" w:hAnsi="Arial"/>
                <w:b/>
                <w:bCs/>
                <w:color w:val="1F3A5F"/>
                <w:sz w:val="20"/>
                <w:szCs w:val="20"/>
              </w:rPr>
              <w:t xml:space="preserve">Frontend </w:t>
            </w:r>
            <w:r>
              <w:rPr>
                <w:rFonts w:ascii="Arial" w:cs="Arial" w:eastAsia="Arial" w:hAnsi="Arial"/>
                <w:color w:val="0F172A"/>
                <w:sz w:val="20"/>
                <w:szCs w:val="20"/>
              </w:rPr>
              <w:t xml:space="preserve">112 hrs   •   </w:t>
            </w:r>
            <w:r>
              <w:rPr>
                <w:rFonts w:ascii="Arial" w:cs="Arial" w:eastAsia="Arial" w:hAnsi="Arial"/>
                <w:b/>
                <w:bCs/>
                <w:color w:val="1F3A5F"/>
                <w:sz w:val="20"/>
                <w:szCs w:val="20"/>
              </w:rPr>
              <w:t xml:space="preserve">Backend </w:t>
            </w:r>
            <w:r>
              <w:rPr>
                <w:rFonts w:ascii="Arial" w:cs="Arial" w:eastAsia="Arial" w:hAnsi="Arial"/>
                <w:color w:val="0F172A"/>
                <w:sz w:val="20"/>
                <w:szCs w:val="20"/>
              </w:rPr>
              <w:t xml:space="preserve">108 hrs   •   </w:t>
            </w:r>
            <w:r>
              <w:rPr>
                <w:rFonts w:ascii="Arial" w:cs="Arial" w:eastAsia="Arial" w:hAnsi="Arial"/>
                <w:b/>
                <w:bCs/>
                <w:color w:val="1F3A5F"/>
                <w:sz w:val="20"/>
                <w:szCs w:val="20"/>
              </w:rPr>
              <w:t xml:space="preserve">Total </w:t>
            </w:r>
            <w:r>
              <w:rPr>
                <w:rFonts w:ascii="Arial" w:cs="Arial" w:eastAsia="Arial" w:hAnsi="Arial"/>
                <w:color w:val="0F172A"/>
                <w:sz w:val="20"/>
                <w:szCs w:val="20"/>
              </w:rPr>
              <w:t xml:space="preserve">220 hrs</w:t>
            </w:r>
          </w:p>
        </w:tc>
      </w:tr>
    </w:tbl>
    <w:p>
      <w:pPr>
        <w:spacing w:after="60" w:before="6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80"/>
        <w:gridCol w:w="1800"/>
      </w:tblGrid>
      <w:tr>
        <w:tc>
          <w:tcPr>
            <w:tcW w:type="dxa" w:w="8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Module 2.6 — Home Screen</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160 hrs</w:t>
            </w:r>
          </w:p>
        </w:tc>
      </w:tr>
      <w:tr>
        <w:tc>
          <w:tcPr>
            <w:tcW w:type="dxa" w:w="10080"/>
            <w:gridSpan w:val="2"/>
            <w:tcBorders>
              <w:top w:val="single" w:color="CBD5E1" w:sz="6"/>
              <w:left w:val="single" w:color="CBD5E1" w:sz="6"/>
              <w:bottom w:val="single" w:color="CBD5E1" w:sz="6"/>
              <w:right w:val="single" w:color="CBD5E1" w:sz="6"/>
            </w:tcBorders>
            <w:shd w:fill="F8FAFC" w:val="clear"/>
            <w:tcMar>
              <w:top w:type="dxa" w:w="120"/>
              <w:left w:type="dxa" w:w="160"/>
              <w:bottom w:type="dxa" w:w="120"/>
              <w:right w:type="dxa" w:w="160"/>
            </w:tcMar>
          </w:tcPr>
          <w:p>
            <w:pPr>
              <w:spacing w:after="30" w:before="30"/>
            </w:pPr>
            <w:r>
              <w:rPr>
                <w:rFonts w:ascii="Arial" w:cs="Arial" w:eastAsia="Arial" w:hAnsi="Arial"/>
                <w:b/>
                <w:bCs/>
                <w:color w:val="1F3A5F"/>
                <w:sz w:val="20"/>
                <w:szCs w:val="20"/>
              </w:rPr>
              <w:t xml:space="preserve">Scope: </w:t>
            </w:r>
            <w:r>
              <w:rPr>
                <w:rFonts w:ascii="Arial" w:cs="Arial" w:eastAsia="Arial" w:hAnsi="Arial"/>
                <w:color w:val="0F172A"/>
                <w:sz w:val="20"/>
                <w:szCs w:val="20"/>
              </w:rPr>
              <w:t xml:space="preserve">Performance score + sub-scores display, biological age gauge with delta, metric cards (lab-only values — glucose, VO2; wearable cards show “Connect Device” placeholder), streaks + personal bests (lab-based subset), milestones + quick book CTA, header with AI preview, recovery badge + greeting.</w:t>
            </w:r>
          </w:p>
        </w:tc>
      </w:tr>
      <w:tr>
        <w:tc>
          <w:tcPr>
            <w:tcW w:type="dxa" w:w="10080"/>
            <w:gridSpan w:val="2"/>
            <w:tcBorders>
              <w:top w:val="single" w:color="CBD5E1" w:sz="6"/>
              <w:left w:val="single" w:color="CBD5E1" w:sz="6"/>
              <w:bottom w:val="single" w:color="CBD5E1" w:sz="6"/>
              <w:right w:val="single" w:color="CBD5E1" w:sz="6"/>
            </w:tcBorders>
            <w:tcMar>
              <w:top w:type="dxa" w:w="80"/>
              <w:left w:type="dxa" w:w="160"/>
              <w:bottom w:type="dxa" w:w="80"/>
              <w:right w:type="dxa" w:w="160"/>
            </w:tcMar>
          </w:tcPr>
          <w:p>
            <w:pPr>
              <w:spacing w:after="30" w:before="30"/>
            </w:pPr>
            <w:r>
              <w:rPr>
                <w:rFonts w:ascii="Arial" w:cs="Arial" w:eastAsia="Arial" w:hAnsi="Arial"/>
                <w:b/>
                <w:bCs/>
                <w:color w:val="1F3A5F"/>
                <w:sz w:val="20"/>
                <w:szCs w:val="20"/>
              </w:rPr>
              <w:t xml:space="preserve">Frontend </w:t>
            </w:r>
            <w:r>
              <w:rPr>
                <w:rFonts w:ascii="Arial" w:cs="Arial" w:eastAsia="Arial" w:hAnsi="Arial"/>
                <w:color w:val="0F172A"/>
                <w:sz w:val="20"/>
                <w:szCs w:val="20"/>
              </w:rPr>
              <w:t xml:space="preserve">124 hrs   •   </w:t>
            </w:r>
            <w:r>
              <w:rPr>
                <w:rFonts w:ascii="Arial" w:cs="Arial" w:eastAsia="Arial" w:hAnsi="Arial"/>
                <w:b/>
                <w:bCs/>
                <w:color w:val="1F3A5F"/>
                <w:sz w:val="20"/>
                <w:szCs w:val="20"/>
              </w:rPr>
              <w:t xml:space="preserve">Backend </w:t>
            </w:r>
            <w:r>
              <w:rPr>
                <w:rFonts w:ascii="Arial" w:cs="Arial" w:eastAsia="Arial" w:hAnsi="Arial"/>
                <w:color w:val="0F172A"/>
                <w:sz w:val="20"/>
                <w:szCs w:val="20"/>
              </w:rPr>
              <w:t xml:space="preserve">36 hrs   •   </w:t>
            </w:r>
            <w:r>
              <w:rPr>
                <w:rFonts w:ascii="Arial" w:cs="Arial" w:eastAsia="Arial" w:hAnsi="Arial"/>
                <w:b/>
                <w:bCs/>
                <w:color w:val="1F3A5F"/>
                <w:sz w:val="20"/>
                <w:szCs w:val="20"/>
              </w:rPr>
              <w:t xml:space="preserve">Total </w:t>
            </w:r>
            <w:r>
              <w:rPr>
                <w:rFonts w:ascii="Arial" w:cs="Arial" w:eastAsia="Arial" w:hAnsi="Arial"/>
                <w:color w:val="0F172A"/>
                <w:sz w:val="20"/>
                <w:szCs w:val="20"/>
              </w:rPr>
              <w:t xml:space="preserve">160 hrs</w:t>
            </w:r>
          </w:p>
        </w:tc>
      </w:tr>
    </w:tbl>
    <w:p>
      <w:pPr>
        <w:spacing w:after="60" w:before="6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80"/>
        <w:gridCol w:w="1800"/>
      </w:tblGrid>
      <w:tr>
        <w:tc>
          <w:tcPr>
            <w:tcW w:type="dxa" w:w="8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Module 2.7 — Profile &amp; Settings</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120 hrs</w:t>
            </w:r>
          </w:p>
        </w:tc>
      </w:tr>
      <w:tr>
        <w:tc>
          <w:tcPr>
            <w:tcW w:type="dxa" w:w="10080"/>
            <w:gridSpan w:val="2"/>
            <w:tcBorders>
              <w:top w:val="single" w:color="CBD5E1" w:sz="6"/>
              <w:left w:val="single" w:color="CBD5E1" w:sz="6"/>
              <w:bottom w:val="single" w:color="CBD5E1" w:sz="6"/>
              <w:right w:val="single" w:color="CBD5E1" w:sz="6"/>
            </w:tcBorders>
            <w:shd w:fill="F8FAFC" w:val="clear"/>
            <w:tcMar>
              <w:top w:type="dxa" w:w="120"/>
              <w:left w:type="dxa" w:w="160"/>
              <w:bottom w:type="dxa" w:w="120"/>
              <w:right w:type="dxa" w:w="160"/>
            </w:tcMar>
          </w:tcPr>
          <w:p>
            <w:pPr>
              <w:spacing w:after="30" w:before="30"/>
            </w:pPr>
            <w:r>
              <w:rPr>
                <w:rFonts w:ascii="Arial" w:cs="Arial" w:eastAsia="Arial" w:hAnsi="Arial"/>
                <w:b/>
                <w:bCs/>
                <w:color w:val="1F3A5F"/>
                <w:sz w:val="20"/>
                <w:szCs w:val="20"/>
              </w:rPr>
              <w:t xml:space="preserve">Scope: </w:t>
            </w:r>
            <w:r>
              <w:rPr>
                <w:rFonts w:ascii="Arial" w:cs="Arial" w:eastAsia="Arial" w:hAnsi="Arial"/>
                <w:color w:val="0F172A"/>
                <w:sz w:val="20"/>
                <w:szCs w:val="20"/>
              </w:rPr>
              <w:t xml:space="preserve">Profile header with avatar/bio/stats, AI health narrative (rendered markdown), performance score breakdown, membership benefits / tier display, 6 essential settings screens (preferences, privacy, notifications, account, support, about).</w:t>
            </w:r>
          </w:p>
        </w:tc>
      </w:tr>
      <w:tr>
        <w:tc>
          <w:tcPr>
            <w:tcW w:type="dxa" w:w="10080"/>
            <w:gridSpan w:val="2"/>
            <w:tcBorders>
              <w:top w:val="single" w:color="CBD5E1" w:sz="6"/>
              <w:left w:val="single" w:color="CBD5E1" w:sz="6"/>
              <w:bottom w:val="single" w:color="CBD5E1" w:sz="6"/>
              <w:right w:val="single" w:color="CBD5E1" w:sz="6"/>
            </w:tcBorders>
            <w:tcMar>
              <w:top w:type="dxa" w:w="80"/>
              <w:left w:type="dxa" w:w="160"/>
              <w:bottom w:type="dxa" w:w="80"/>
              <w:right w:type="dxa" w:w="160"/>
            </w:tcMar>
          </w:tcPr>
          <w:p>
            <w:pPr>
              <w:spacing w:after="30" w:before="30"/>
            </w:pPr>
            <w:r>
              <w:rPr>
                <w:rFonts w:ascii="Arial" w:cs="Arial" w:eastAsia="Arial" w:hAnsi="Arial"/>
                <w:b/>
                <w:bCs/>
                <w:color w:val="1F3A5F"/>
                <w:sz w:val="20"/>
                <w:szCs w:val="20"/>
              </w:rPr>
              <w:t xml:space="preserve">Frontend </w:t>
            </w:r>
            <w:r>
              <w:rPr>
                <w:rFonts w:ascii="Arial" w:cs="Arial" w:eastAsia="Arial" w:hAnsi="Arial"/>
                <w:color w:val="0F172A"/>
                <w:sz w:val="20"/>
                <w:szCs w:val="20"/>
              </w:rPr>
              <w:t xml:space="preserve">84 hrs   •   </w:t>
            </w:r>
            <w:r>
              <w:rPr>
                <w:rFonts w:ascii="Arial" w:cs="Arial" w:eastAsia="Arial" w:hAnsi="Arial"/>
                <w:b/>
                <w:bCs/>
                <w:color w:val="1F3A5F"/>
                <w:sz w:val="20"/>
                <w:szCs w:val="20"/>
              </w:rPr>
              <w:t xml:space="preserve">Backend </w:t>
            </w:r>
            <w:r>
              <w:rPr>
                <w:rFonts w:ascii="Arial" w:cs="Arial" w:eastAsia="Arial" w:hAnsi="Arial"/>
                <w:color w:val="0F172A"/>
                <w:sz w:val="20"/>
                <w:szCs w:val="20"/>
              </w:rPr>
              <w:t xml:space="preserve">36 hrs   •   </w:t>
            </w:r>
            <w:r>
              <w:rPr>
                <w:rFonts w:ascii="Arial" w:cs="Arial" w:eastAsia="Arial" w:hAnsi="Arial"/>
                <w:b/>
                <w:bCs/>
                <w:color w:val="1F3A5F"/>
                <w:sz w:val="20"/>
                <w:szCs w:val="20"/>
              </w:rPr>
              <w:t xml:space="preserve">Total </w:t>
            </w:r>
            <w:r>
              <w:rPr>
                <w:rFonts w:ascii="Arial" w:cs="Arial" w:eastAsia="Arial" w:hAnsi="Arial"/>
                <w:color w:val="0F172A"/>
                <w:sz w:val="20"/>
                <w:szCs w:val="20"/>
              </w:rPr>
              <w:t xml:space="preserve">120 hrs</w:t>
            </w:r>
          </w:p>
        </w:tc>
      </w:tr>
    </w:tbl>
    <w:p>
      <w:pPr>
        <w:spacing w:after="60" w:before="6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80"/>
        <w:gridCol w:w="1800"/>
      </w:tblGrid>
      <w:tr>
        <w:tc>
          <w:tcPr>
            <w:tcW w:type="dxa" w:w="8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Module 2.8 — Cross-Cutting Concerns</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212 hrs</w:t>
            </w:r>
          </w:p>
        </w:tc>
      </w:tr>
      <w:tr>
        <w:tc>
          <w:tcPr>
            <w:tcW w:type="dxa" w:w="10080"/>
            <w:gridSpan w:val="2"/>
            <w:tcBorders>
              <w:top w:val="single" w:color="CBD5E1" w:sz="6"/>
              <w:left w:val="single" w:color="CBD5E1" w:sz="6"/>
              <w:bottom w:val="single" w:color="CBD5E1" w:sz="6"/>
              <w:right w:val="single" w:color="CBD5E1" w:sz="6"/>
            </w:tcBorders>
            <w:shd w:fill="F8FAFC" w:val="clear"/>
            <w:tcMar>
              <w:top w:type="dxa" w:w="120"/>
              <w:left w:type="dxa" w:w="160"/>
              <w:bottom w:type="dxa" w:w="120"/>
              <w:right w:type="dxa" w:w="160"/>
            </w:tcMar>
          </w:tcPr>
          <w:p>
            <w:pPr>
              <w:spacing w:after="30" w:before="30"/>
            </w:pPr>
            <w:r>
              <w:rPr>
                <w:rFonts w:ascii="Arial" w:cs="Arial" w:eastAsia="Arial" w:hAnsi="Arial"/>
                <w:b/>
                <w:bCs/>
                <w:color w:val="1F3A5F"/>
                <w:sz w:val="20"/>
                <w:szCs w:val="20"/>
              </w:rPr>
              <w:t xml:space="preserve">Scope: </w:t>
            </w:r>
            <w:r>
              <w:rPr>
                <w:rFonts w:ascii="Arial" w:cs="Arial" w:eastAsia="Arial" w:hAnsi="Arial"/>
                <w:color w:val="0F172A"/>
                <w:sz w:val="20"/>
                <w:szCs w:val="20"/>
              </w:rPr>
              <w:t xml:space="preserve">Push notifications (FCM / APNs basics), lab-triggered score recalculation, search &amp; filtering, Mixpanel basic event tracking, single-target cloud deploy (Railway/Fly.io or Vercel), security essentials (SSL, secrets, basic hardening), iOS + Android App Store submissions, manual + critical-path QA, Sentry error tracking + basic uptime monitoring.</w:t>
            </w:r>
          </w:p>
        </w:tc>
      </w:tr>
      <w:tr>
        <w:tc>
          <w:tcPr>
            <w:tcW w:type="dxa" w:w="10080"/>
            <w:gridSpan w:val="2"/>
            <w:tcBorders>
              <w:top w:val="single" w:color="CBD5E1" w:sz="6"/>
              <w:left w:val="single" w:color="CBD5E1" w:sz="6"/>
              <w:bottom w:val="single" w:color="CBD5E1" w:sz="6"/>
              <w:right w:val="single" w:color="CBD5E1" w:sz="6"/>
            </w:tcBorders>
            <w:tcMar>
              <w:top w:type="dxa" w:w="80"/>
              <w:left w:type="dxa" w:w="160"/>
              <w:bottom w:type="dxa" w:w="80"/>
              <w:right w:type="dxa" w:w="160"/>
            </w:tcMar>
          </w:tcPr>
          <w:p>
            <w:pPr>
              <w:spacing w:after="30" w:before="30"/>
            </w:pPr>
            <w:r>
              <w:rPr>
                <w:rFonts w:ascii="Arial" w:cs="Arial" w:eastAsia="Arial" w:hAnsi="Arial"/>
                <w:b/>
                <w:bCs/>
                <w:color w:val="1F3A5F"/>
                <w:sz w:val="20"/>
                <w:szCs w:val="20"/>
              </w:rPr>
              <w:t xml:space="preserve">Frontend </w:t>
            </w:r>
            <w:r>
              <w:rPr>
                <w:rFonts w:ascii="Arial" w:cs="Arial" w:eastAsia="Arial" w:hAnsi="Arial"/>
                <w:color w:val="0F172A"/>
                <w:sz w:val="20"/>
                <w:szCs w:val="20"/>
              </w:rPr>
              <w:t xml:space="preserve">88 hrs   •   </w:t>
            </w:r>
            <w:r>
              <w:rPr>
                <w:rFonts w:ascii="Arial" w:cs="Arial" w:eastAsia="Arial" w:hAnsi="Arial"/>
                <w:b/>
                <w:bCs/>
                <w:color w:val="1F3A5F"/>
                <w:sz w:val="20"/>
                <w:szCs w:val="20"/>
              </w:rPr>
              <w:t xml:space="preserve">Backend </w:t>
            </w:r>
            <w:r>
              <w:rPr>
                <w:rFonts w:ascii="Arial" w:cs="Arial" w:eastAsia="Arial" w:hAnsi="Arial"/>
                <w:color w:val="0F172A"/>
                <w:sz w:val="20"/>
                <w:szCs w:val="20"/>
              </w:rPr>
              <w:t xml:space="preserve">124 hrs   •   </w:t>
            </w:r>
            <w:r>
              <w:rPr>
                <w:rFonts w:ascii="Arial" w:cs="Arial" w:eastAsia="Arial" w:hAnsi="Arial"/>
                <w:b/>
                <w:bCs/>
                <w:color w:val="1F3A5F"/>
                <w:sz w:val="20"/>
                <w:szCs w:val="20"/>
              </w:rPr>
              <w:t xml:space="preserve">Total </w:t>
            </w:r>
            <w:r>
              <w:rPr>
                <w:rFonts w:ascii="Arial" w:cs="Arial" w:eastAsia="Arial" w:hAnsi="Arial"/>
                <w:color w:val="0F172A"/>
                <w:sz w:val="20"/>
                <w:szCs w:val="20"/>
              </w:rPr>
              <w:t xml:space="preserve">212 hrs</w:t>
            </w:r>
          </w:p>
        </w:tc>
      </w:tr>
    </w:tbl>
    <w:p>
      <w:pPr>
        <w:spacing w:after="60" w:before="60"/>
      </w:pPr>
      <w:r>
        <w:rPr>
          <w:rFonts w:ascii="Arial" w:cs="Arial" w:eastAsia="Arial" w:hAnsi="Arial"/>
          <w:color w:val="0F172A"/>
          <w:sz w:val="22"/>
          <w:szCs w:val="22"/>
        </w:rPr>
        <w:t xml:space="preserve"> </w:t>
      </w:r>
    </w:p>
    <w:p>
      <w:r>
        <w:br w:type="page"/>
      </w:r>
    </w:p>
    <w:p>
      <w:pPr>
        <w:pStyle w:val="Heading1"/>
        <w:spacing w:after="200" w:before="360"/>
      </w:pPr>
      <w:r>
        <w:rPr>
          <w:rFonts w:ascii="Arial" w:cs="Arial" w:eastAsia="Arial" w:hAnsi="Arial"/>
          <w:b/>
          <w:bCs/>
          <w:color w:val="1F3A5F"/>
          <w:sz w:val="36"/>
          <w:szCs w:val="36"/>
        </w:rPr>
        <w:t xml:space="preserve">3. Deliverable Summary</w:t>
      </w:r>
    </w:p>
    <w:p>
      <w:pPr>
        <w:spacing w:after="60" w:before="60"/>
      </w:pPr>
      <w:r>
        <w:rPr>
          <w:rFonts w:ascii="Arial" w:cs="Arial" w:eastAsia="Arial" w:hAnsi="Arial"/>
          <w:color w:val="0F172A"/>
          <w:sz w:val="22"/>
          <w:szCs w:val="22"/>
        </w:rPr>
        <w:t xml:space="preserve">Aggregated engineering hours across all 8 modules, grouped by deliverable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800"/>
        <w:gridCol w:w="4680"/>
      </w:tblGrid>
      <w:tr>
        <w:trPr>
          <w:tblHeader/>
        </w:trPr>
        <w:tc>
          <w:tcPr>
            <w:tcW w:type="dxa" w:w="34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Deliverable</w:t>
            </w:r>
          </w:p>
        </w:tc>
        <w:tc>
          <w:tcPr>
            <w:tcW w:type="dxa" w:w="12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Hours</w:t>
            </w:r>
          </w:p>
        </w:tc>
        <w:tc>
          <w:tcPr>
            <w:tcW w:type="dxa" w:w="8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w:t>
            </w:r>
          </w:p>
        </w:tc>
        <w:tc>
          <w:tcPr>
            <w:tcW w:type="dxa" w:w="46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What's Included</w:t>
            </w:r>
          </w:p>
        </w:tc>
      </w:tr>
      <w:tr>
        <w:trPr>
          <w:tblHeader w:val="false"/>
        </w:trPr>
        <w:tc>
          <w:tcPr>
            <w:tcW w:type="dxa" w:w="3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Mobile App (React Native + NativeBase)</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580</w:t>
            </w:r>
          </w:p>
        </w:tc>
        <w:tc>
          <w:tcPr>
            <w:tcW w:type="dxa" w:w="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37%</w:t>
            </w:r>
          </w:p>
        </w:tc>
        <w:tc>
          <w:tcPr>
            <w:tcW w:type="dxa" w:w="4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iOS + Android app, all user-facing screens, NativeBase components, navigation, state management</w:t>
            </w:r>
          </w:p>
        </w:tc>
      </w:tr>
      <w:tr>
        <w:trPr>
          <w:tblHeader w:val="false"/>
        </w:trPr>
        <w:tc>
          <w:tcPr>
            <w:tcW w:type="dxa" w:w="34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Admin Web App (Next.js + shadcn/ui)</w:t>
            </w:r>
          </w:p>
        </w:tc>
        <w:tc>
          <w:tcPr>
            <w:tcW w:type="dxa" w:w="1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192</w:t>
            </w:r>
          </w:p>
        </w:tc>
        <w:tc>
          <w:tcPr>
            <w:tcW w:type="dxa" w:w="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12%</w:t>
            </w:r>
          </w:p>
        </w:tc>
        <w:tc>
          <w:tcPr>
            <w:tcW w:type="dxa" w:w="46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Admin console with essential CRUD panels for diagnostics, therapies, programs, and AI prompts</w:t>
            </w:r>
          </w:p>
        </w:tc>
      </w:tr>
      <w:tr>
        <w:trPr>
          <w:tblHeader w:val="false"/>
        </w:trPr>
        <w:tc>
          <w:tcPr>
            <w:tcW w:type="dxa" w:w="3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Backend APIs &amp; Services</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660</w:t>
            </w:r>
          </w:p>
        </w:tc>
        <w:tc>
          <w:tcPr>
            <w:tcW w:type="dxa" w:w="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42%</w:t>
            </w:r>
          </w:p>
        </w:tc>
        <w:tc>
          <w:tcPr>
            <w:tcW w:type="dxa" w:w="4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Supabase + Node.js APIs, biomarker engine, booking, AI integration, business logic, data layer</w:t>
            </w:r>
          </w:p>
        </w:tc>
      </w:tr>
      <w:tr>
        <w:trPr>
          <w:tblHeader w:val="false"/>
        </w:trPr>
        <w:tc>
          <w:tcPr>
            <w:tcW w:type="dxa" w:w="34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DevOps &amp; Deployment</w:t>
            </w:r>
          </w:p>
        </w:tc>
        <w:tc>
          <w:tcPr>
            <w:tcW w:type="dxa" w:w="1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60</w:t>
            </w:r>
          </w:p>
        </w:tc>
        <w:tc>
          <w:tcPr>
            <w:tcW w:type="dxa" w:w="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4%</w:t>
            </w:r>
          </w:p>
        </w:tc>
        <w:tc>
          <w:tcPr>
            <w:tcW w:type="dxa" w:w="46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GitHub Actions CI/CD, Docker, Railway/Fly.io deploy, app store submission</w:t>
            </w:r>
          </w:p>
        </w:tc>
      </w:tr>
      <w:tr>
        <w:trPr>
          <w:tblHeader w:val="false"/>
        </w:trPr>
        <w:tc>
          <w:tcPr>
            <w:tcW w:type="dxa" w:w="3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Testing &amp; QA</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80</w:t>
            </w:r>
          </w:p>
        </w:tc>
        <w:tc>
          <w:tcPr>
            <w:tcW w:type="dxa" w:w="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5%</w:t>
            </w:r>
          </w:p>
        </w:tc>
        <w:tc>
          <w:tcPr>
            <w:tcW w:type="dxa" w:w="4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Manual testing, critical-path tests, happy-path focus (E2E automation deferred)</w:t>
            </w:r>
          </w:p>
        </w:tc>
      </w:tr>
      <w:tr>
        <w:tc>
          <w:tcPr>
            <w:tcW w:type="dxa" w:w="34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Grand Total (Base)</w:t>
            </w:r>
          </w:p>
        </w:tc>
        <w:tc>
          <w:tcPr>
            <w:tcW w:type="dxa" w:w="12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1,572</w:t>
            </w:r>
          </w:p>
        </w:tc>
        <w:tc>
          <w:tcPr>
            <w:tcW w:type="dxa" w:w="8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100%</w:t>
            </w:r>
          </w:p>
        </w:tc>
        <w:tc>
          <w:tcPr>
            <w:tcW w:type="dxa" w:w="468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+10% PM overhead = ~1,730 hrs. +15% buffer = ~1,990 hrs. Range: 1,800–2,000 hrs.</w:t>
            </w:r>
          </w:p>
        </w:tc>
      </w:tr>
    </w:tbl>
    <w:p>
      <w:r>
        <w:br w:type="page"/>
      </w:r>
    </w:p>
    <w:p>
      <w:pPr>
        <w:pStyle w:val="Heading1"/>
        <w:spacing w:after="200" w:before="360"/>
      </w:pPr>
      <w:r>
        <w:rPr>
          <w:rFonts w:ascii="Arial" w:cs="Arial" w:eastAsia="Arial" w:hAnsi="Arial"/>
          <w:b/>
          <w:bCs/>
          <w:color w:val="1F3A5F"/>
          <w:sz w:val="36"/>
          <w:szCs w:val="36"/>
        </w:rPr>
        <w:t xml:space="preserve">4. Timeline &amp; Phasing</w:t>
      </w:r>
    </w:p>
    <w:p>
      <w:pPr>
        <w:spacing w:after="60" w:before="60"/>
      </w:pPr>
      <w:r>
        <w:rPr>
          <w:rFonts w:ascii="Arial" w:cs="Arial" w:eastAsia="Arial" w:hAnsi="Arial"/>
          <w:color w:val="0F172A"/>
          <w:sz w:val="22"/>
          <w:szCs w:val="22"/>
        </w:rPr>
        <w:t xml:space="preserve">Delivery is structured across 4 phases spanning 12–14 calendar weeks. Phases overlap intentionally to maximize parallel execution by independent sub-teams.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880"/>
        <w:gridCol w:w="1200"/>
      </w:tblGrid>
      <w:tr>
        <w:trPr>
          <w:tblHeader/>
        </w:trPr>
        <w:tc>
          <w:tcPr>
            <w:tcW w:type="dxa" w:w="24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Phase</w:t>
            </w:r>
          </w:p>
        </w:tc>
        <w:tc>
          <w:tcPr>
            <w:tcW w:type="dxa" w:w="16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Weeks</w:t>
            </w:r>
          </w:p>
        </w:tc>
        <w:tc>
          <w:tcPr>
            <w:tcW w:type="dxa" w:w="48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Deliverables</w:t>
            </w:r>
          </w:p>
        </w:tc>
        <w:tc>
          <w:tcPr>
            <w:tcW w:type="dxa" w:w="12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center"/>
            </w:pPr>
            <w:r>
              <w:rPr>
                <w:rFonts w:ascii="Arial" w:cs="Arial" w:eastAsia="Arial" w:hAnsi="Arial"/>
                <w:b/>
                <w:bCs/>
                <w:color w:val="FFFFFF"/>
                <w:sz w:val="20"/>
                <w:szCs w:val="20"/>
              </w:rPr>
              <w:t xml:space="preserve">% Effort</w:t>
            </w:r>
          </w:p>
        </w:tc>
      </w:tr>
      <w:tr>
        <w:trPr>
          <w:tblHeader w:val="false"/>
        </w:trPr>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bCs/>
                <w:color w:val="0F172A"/>
                <w:sz w:val="20"/>
                <w:szCs w:val="20"/>
              </w:rPr>
              <w:t xml:space="preserve">Phase 1 — Foundation</w:t>
            </w:r>
          </w:p>
        </w:tc>
        <w:tc>
          <w:tcPr>
            <w:tcW w:type="dxa" w:w="16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Weeks 1–3</w:t>
            </w:r>
          </w:p>
        </w:tc>
        <w:tc>
          <w:tcPr>
            <w:tcW w:type="dxa" w:w="48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Project kickoff, Infrastructure &amp; Auth, Supabase setup, database schema, CI/CD pipeline, admin shell</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~13%</w:t>
            </w:r>
          </w:p>
        </w:tc>
      </w:tr>
      <w:tr>
        <w:trPr>
          <w:tblHeader w:val="false"/>
        </w:trPr>
        <w:tc>
          <w:tcPr>
            <w:tcW w:type="dxa" w:w="24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0F172A"/>
                <w:sz w:val="20"/>
                <w:szCs w:val="20"/>
              </w:rPr>
              <w:t xml:space="preserve">Phase 2 — Core Modules</w:t>
            </w:r>
          </w:p>
        </w:tc>
        <w:tc>
          <w:tcPr>
            <w:tcW w:type="dxa" w:w="16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Weeks 3–8</w:t>
            </w:r>
          </w:p>
        </w:tc>
        <w:tc>
          <w:tcPr>
            <w:tcW w:type="dxa" w:w="48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Diagnostics Hub, Therapies Module, Home Screen (built in parallel by separate sub-teams)</w:t>
            </w:r>
          </w:p>
        </w:tc>
        <w:tc>
          <w:tcPr>
            <w:tcW w:type="dxa" w:w="1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~45%</w:t>
            </w:r>
          </w:p>
        </w:tc>
      </w:tr>
      <w:tr>
        <w:trPr>
          <w:tblHeader w:val="false"/>
        </w:trPr>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bCs/>
                <w:color w:val="0F172A"/>
                <w:sz w:val="20"/>
                <w:szCs w:val="20"/>
              </w:rPr>
              <w:t xml:space="preserve">Phase 3 — AI &amp; Programs</w:t>
            </w:r>
          </w:p>
        </w:tc>
        <w:tc>
          <w:tcPr>
            <w:tcW w:type="dxa" w:w="16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Weeks 7–11</w:t>
            </w:r>
          </w:p>
        </w:tc>
        <w:tc>
          <w:tcPr>
            <w:tcW w:type="dxa" w:w="48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CHAMP AI Coach, Programs Module, Profile &amp; Settings (built in parallel)</w:t>
            </w:r>
          </w:p>
        </w:tc>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~30%</w:t>
            </w:r>
          </w:p>
        </w:tc>
      </w:tr>
      <w:tr>
        <w:trPr>
          <w:tblHeader w:val="false"/>
        </w:trPr>
        <w:tc>
          <w:tcPr>
            <w:tcW w:type="dxa" w:w="24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0F172A"/>
                <w:sz w:val="20"/>
                <w:szCs w:val="20"/>
              </w:rPr>
              <w:t xml:space="preserve">Phase 4 — Harden &amp; Launch</w:t>
            </w:r>
          </w:p>
        </w:tc>
        <w:tc>
          <w:tcPr>
            <w:tcW w:type="dxa" w:w="16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Weeks 11–14</w:t>
            </w:r>
          </w:p>
        </w:tc>
        <w:tc>
          <w:tcPr>
            <w:tcW w:type="dxa" w:w="48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Integration testing, security hardening, QA cycles, App Store / Play Store submission, production deployment</w:t>
            </w:r>
          </w:p>
        </w:tc>
        <w:tc>
          <w:tcPr>
            <w:tcW w:type="dxa" w:w="1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~12%</w:t>
            </w:r>
          </w:p>
        </w:tc>
      </w:tr>
    </w:tbl>
    <w:p>
      <w:pPr>
        <w:spacing w:after="60" w:before="60"/>
      </w:pPr>
      <w:r>
        <w:rPr>
          <w:rFonts w:ascii="Arial" w:cs="Arial" w:eastAsia="Arial" w:hAnsi="Arial"/>
          <w:color w:val="0F172A"/>
          <w:sz w:val="22"/>
          <w:szCs w:val="22"/>
        </w:rPr>
        <w:t xml:space="preserve"> </w:t>
      </w:r>
    </w:p>
    <w:p>
      <w:pPr>
        <w:pStyle w:val="Heading3"/>
        <w:spacing w:after="100" w:before="200"/>
      </w:pPr>
      <w:r>
        <w:rPr>
          <w:rFonts w:ascii="Arial" w:cs="Arial" w:eastAsia="Arial" w:hAnsi="Arial"/>
          <w:b/>
          <w:bCs/>
          <w:color w:val="2C4D7A"/>
          <w:sz w:val="24"/>
          <w:szCs w:val="24"/>
        </w:rPr>
        <w:t xml:space="preserve">Key Milestones</w:t>
      </w:r>
    </w:p>
    <w:p>
      <w:pPr>
        <w:pStyle w:val="ListParagraph"/>
        <w:numPr>
          <w:ilvl w:val="0"/>
          <w:numId w:val="2"/>
        </w:numPr>
        <w:spacing w:after="30" w:before="30"/>
      </w:pPr>
      <w:r>
        <w:rPr>
          <w:rFonts w:ascii="Arial" w:cs="Arial" w:eastAsia="Arial" w:hAnsi="Arial"/>
          <w:b/>
          <w:bCs/>
          <w:color w:val="0F172A"/>
          <w:sz w:val="22"/>
          <w:szCs w:val="22"/>
        </w:rPr>
        <w:t xml:space="preserve">Week 3 </w:t>
      </w:r>
      <w:r>
        <w:rPr>
          <w:rFonts w:ascii="Arial" w:cs="Arial" w:eastAsia="Arial" w:hAnsi="Arial"/>
          <w:color w:val="0F172A"/>
          <w:sz w:val="22"/>
          <w:szCs w:val="22"/>
        </w:rPr>
        <w:t xml:space="preserve">— M1: Foundation complete (Auth, DB schema, CI/CD live, admin shell deployed to staging).</w:t>
      </w:r>
    </w:p>
    <w:p>
      <w:pPr>
        <w:pStyle w:val="ListParagraph"/>
        <w:numPr>
          <w:ilvl w:val="0"/>
          <w:numId w:val="2"/>
        </w:numPr>
        <w:spacing w:after="30" w:before="30"/>
      </w:pPr>
      <w:r>
        <w:rPr>
          <w:rFonts w:ascii="Arial" w:cs="Arial" w:eastAsia="Arial" w:hAnsi="Arial"/>
          <w:b/>
          <w:bCs/>
          <w:color w:val="0F172A"/>
          <w:sz w:val="22"/>
          <w:szCs w:val="22"/>
        </w:rPr>
        <w:t xml:space="preserve">Week 8 </w:t>
      </w:r>
      <w:r>
        <w:rPr>
          <w:rFonts w:ascii="Arial" w:cs="Arial" w:eastAsia="Arial" w:hAnsi="Arial"/>
          <w:color w:val="0F172A"/>
          <w:sz w:val="22"/>
          <w:szCs w:val="22"/>
        </w:rPr>
        <w:t xml:space="preserve">— M2: Core modules functionally complete (Diagnostics + Therapies + Home in staging, internal demo).</w:t>
      </w:r>
    </w:p>
    <w:p>
      <w:pPr>
        <w:pStyle w:val="ListParagraph"/>
        <w:numPr>
          <w:ilvl w:val="0"/>
          <w:numId w:val="2"/>
        </w:numPr>
        <w:spacing w:after="30" w:before="30"/>
      </w:pPr>
      <w:r>
        <w:rPr>
          <w:rFonts w:ascii="Arial" w:cs="Arial" w:eastAsia="Arial" w:hAnsi="Arial"/>
          <w:b/>
          <w:bCs/>
          <w:color w:val="0F172A"/>
          <w:sz w:val="22"/>
          <w:szCs w:val="22"/>
        </w:rPr>
        <w:t xml:space="preserve">Week 11 </w:t>
      </w:r>
      <w:r>
        <w:rPr>
          <w:rFonts w:ascii="Arial" w:cs="Arial" w:eastAsia="Arial" w:hAnsi="Arial"/>
          <w:color w:val="0F172A"/>
          <w:sz w:val="22"/>
          <w:szCs w:val="22"/>
        </w:rPr>
        <w:t xml:space="preserve">— M3: All modules feature-complete, UAT begins, App Store submission initiated.</w:t>
      </w:r>
    </w:p>
    <w:p>
      <w:pPr>
        <w:pStyle w:val="ListParagraph"/>
        <w:numPr>
          <w:ilvl w:val="0"/>
          <w:numId w:val="2"/>
        </w:numPr>
        <w:spacing w:after="30" w:before="30"/>
      </w:pPr>
      <w:r>
        <w:rPr>
          <w:rFonts w:ascii="Arial" w:cs="Arial" w:eastAsia="Arial" w:hAnsi="Arial"/>
          <w:b/>
          <w:bCs/>
          <w:color w:val="0F172A"/>
          <w:sz w:val="22"/>
          <w:szCs w:val="22"/>
        </w:rPr>
        <w:t xml:space="preserve">Week 14 </w:t>
      </w:r>
      <w:r>
        <w:rPr>
          <w:rFonts w:ascii="Arial" w:cs="Arial" w:eastAsia="Arial" w:hAnsi="Arial"/>
          <w:color w:val="0F172A"/>
          <w:sz w:val="22"/>
          <w:szCs w:val="22"/>
        </w:rPr>
        <w:t xml:space="preserve">— M4: Production release, App Store + Play Store live, 30-day hypercare begins.</w:t>
      </w:r>
    </w:p>
    <w:p>
      <w:r>
        <w:br w:type="page"/>
      </w:r>
    </w:p>
    <w:p>
      <w:pPr>
        <w:pStyle w:val="Heading1"/>
        <w:spacing w:after="200" w:before="360"/>
      </w:pPr>
      <w:r>
        <w:rPr>
          <w:rFonts w:ascii="Arial" w:cs="Arial" w:eastAsia="Arial" w:hAnsi="Arial"/>
          <w:b/>
          <w:bCs/>
          <w:color w:val="1F3A5F"/>
          <w:sz w:val="36"/>
          <w:szCs w:val="36"/>
        </w:rPr>
        <w:t xml:space="preserve">5. Team Composition</w:t>
      </w:r>
    </w:p>
    <w:p>
      <w:pPr>
        <w:spacing w:after="60" w:before="60"/>
      </w:pPr>
      <w:r>
        <w:rPr>
          <w:rFonts w:ascii="Arial" w:cs="Arial" w:eastAsia="Arial" w:hAnsi="Arial"/>
          <w:color w:val="0F172A"/>
          <w:sz w:val="22"/>
          <w:szCs w:val="22"/>
        </w:rPr>
        <w:t xml:space="preserve">A lean team of 5–6 engineers + 0.25 Project Manager. The backend engineer also owns AI integration (simple RAG via Vercel AI SDK — no dedicated AI/ML engineer required for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800"/>
        <w:gridCol w:w="4280"/>
      </w:tblGrid>
      <w:tr>
        <w:trPr>
          <w:tblHeader/>
        </w:trPr>
        <w:tc>
          <w:tcPr>
            <w:tcW w:type="dxa" w:w="30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Role</w:t>
            </w:r>
          </w:p>
        </w:tc>
        <w:tc>
          <w:tcPr>
            <w:tcW w:type="dxa" w:w="10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center"/>
            </w:pPr>
            <w:r>
              <w:rPr>
                <w:rFonts w:ascii="Arial" w:cs="Arial" w:eastAsia="Arial" w:hAnsi="Arial"/>
                <w:b/>
                <w:bCs/>
                <w:color w:val="FFFFFF"/>
                <w:sz w:val="20"/>
                <w:szCs w:val="20"/>
              </w:rPr>
              <w:t xml:space="preserve">Count</w:t>
            </w:r>
          </w:p>
        </w:tc>
        <w:tc>
          <w:tcPr>
            <w:tcW w:type="dxa" w:w="18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Allocation</w:t>
            </w:r>
          </w:p>
        </w:tc>
        <w:tc>
          <w:tcPr>
            <w:tcW w:type="dxa" w:w="4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Focus Area</w:t>
            </w:r>
          </w:p>
        </w:tc>
      </w:tr>
      <w:tr>
        <w:trPr>
          <w:tblHeader w:val="false"/>
        </w:trPr>
        <w:tc>
          <w:tcPr>
            <w:tcW w:type="dxa" w:w="3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React Native Engineer (Sr / Mid)</w:t>
            </w:r>
          </w:p>
        </w:tc>
        <w:tc>
          <w:tcPr>
            <w:tcW w:type="dxa" w:w="1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2</w:t>
            </w:r>
          </w:p>
        </w:tc>
        <w:tc>
          <w:tcPr>
            <w:tcW w:type="dxa" w:w="1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580 hrs</w:t>
            </w:r>
          </w:p>
        </w:tc>
        <w:tc>
          <w:tcPr>
            <w:tcW w:type="dxa" w:w="42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Mobile App — all user-facing screens, NativeBase components, state management, navigation</w:t>
            </w:r>
          </w:p>
        </w:tc>
      </w:tr>
      <w:tr>
        <w:trPr>
          <w:tblHeader w:val="false"/>
        </w:trPr>
        <w:tc>
          <w:tcPr>
            <w:tcW w:type="dxa" w:w="3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Next.js / Fullstack Engineer</w:t>
            </w:r>
          </w:p>
        </w:tc>
        <w:tc>
          <w:tcPr>
            <w:tcW w:type="dxa" w:w="1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1</w:t>
            </w:r>
          </w:p>
        </w:tc>
        <w:tc>
          <w:tcPr>
            <w:tcW w:type="dxa" w:w="1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192 hrs</w:t>
            </w:r>
          </w:p>
        </w:tc>
        <w:tc>
          <w:tcPr>
            <w:tcW w:type="dxa" w:w="42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Admin Console — shadcn/ui CRUD panels, supports backend API routes</w:t>
            </w:r>
          </w:p>
        </w:tc>
      </w:tr>
      <w:tr>
        <w:trPr>
          <w:tblHeader w:val="false"/>
        </w:trPr>
        <w:tc>
          <w:tcPr>
            <w:tcW w:type="dxa" w:w="3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Backend Engineer (Sr / Mid)</w:t>
            </w:r>
          </w:p>
        </w:tc>
        <w:tc>
          <w:tcPr>
            <w:tcW w:type="dxa" w:w="1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1.5</w:t>
            </w:r>
          </w:p>
        </w:tc>
        <w:tc>
          <w:tcPr>
            <w:tcW w:type="dxa" w:w="1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660 hrs</w:t>
            </w:r>
          </w:p>
        </w:tc>
        <w:tc>
          <w:tcPr>
            <w:tcW w:type="dxa" w:w="42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Supabase + Node.js APIs, business logic, AI integration (RAG), data layer</w:t>
            </w:r>
          </w:p>
        </w:tc>
      </w:tr>
      <w:tr>
        <w:trPr>
          <w:tblHeader w:val="false"/>
        </w:trPr>
        <w:tc>
          <w:tcPr>
            <w:tcW w:type="dxa" w:w="3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DevOps Engineer</w:t>
            </w:r>
          </w:p>
        </w:tc>
        <w:tc>
          <w:tcPr>
            <w:tcW w:type="dxa" w:w="1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0.5</w:t>
            </w:r>
          </w:p>
        </w:tc>
        <w:tc>
          <w:tcPr>
            <w:tcW w:type="dxa" w:w="1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60 hrs</w:t>
            </w:r>
          </w:p>
        </w:tc>
        <w:tc>
          <w:tcPr>
            <w:tcW w:type="dxa" w:w="42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CI/CD pipeline, Docker, Railway/Fly.io deploy, monitoring setup</w:t>
            </w:r>
          </w:p>
        </w:tc>
      </w:tr>
      <w:tr>
        <w:trPr>
          <w:tblHeader w:val="false"/>
        </w:trPr>
        <w:tc>
          <w:tcPr>
            <w:tcW w:type="dxa" w:w="3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QA Engineer</w:t>
            </w:r>
          </w:p>
        </w:tc>
        <w:tc>
          <w:tcPr>
            <w:tcW w:type="dxa" w:w="1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0.5</w:t>
            </w:r>
          </w:p>
        </w:tc>
        <w:tc>
          <w:tcPr>
            <w:tcW w:type="dxa" w:w="1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80 hrs</w:t>
            </w:r>
          </w:p>
        </w:tc>
        <w:tc>
          <w:tcPr>
            <w:tcW w:type="dxa" w:w="42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Manual testing, critical-path verification, happy-path focus</w:t>
            </w:r>
          </w:p>
        </w:tc>
      </w:tr>
      <w:tr>
        <w:trPr>
          <w:tblHeader w:val="false"/>
        </w:trPr>
        <w:tc>
          <w:tcPr>
            <w:tcW w:type="dxa" w:w="3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Project Manager</w:t>
            </w:r>
          </w:p>
        </w:tc>
        <w:tc>
          <w:tcPr>
            <w:tcW w:type="dxa" w:w="1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center"/>
            </w:pPr>
            <w:r>
              <w:rPr>
                <w:rFonts w:ascii="Arial" w:cs="Arial" w:eastAsia="Arial" w:hAnsi="Arial"/>
                <w:b w:val="false"/>
                <w:bCs w:val="false"/>
                <w:color w:val="0F172A"/>
                <w:sz w:val="20"/>
                <w:szCs w:val="20"/>
              </w:rPr>
              <w:t xml:space="preserve">0.25</w:t>
            </w:r>
          </w:p>
        </w:tc>
        <w:tc>
          <w:tcPr>
            <w:tcW w:type="dxa" w:w="1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PM overhead (~10%)</w:t>
            </w:r>
          </w:p>
        </w:tc>
        <w:tc>
          <w:tcPr>
            <w:tcW w:type="dxa" w:w="42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Sprint planning, stakeholder updates, risk management, delivery coordination</w:t>
            </w:r>
          </w:p>
        </w:tc>
      </w:tr>
    </w:tbl>
    <w:p>
      <w:pPr>
        <w:pStyle w:val="Heading1"/>
        <w:spacing w:after="200" w:before="360"/>
      </w:pPr>
      <w:r>
        <w:rPr>
          <w:rFonts w:ascii="Arial" w:cs="Arial" w:eastAsia="Arial" w:hAnsi="Arial"/>
          <w:b/>
          <w:bCs/>
          <w:color w:val="1F3A5F"/>
          <w:sz w:val="36"/>
          <w:szCs w:val="36"/>
        </w:rPr>
        <w:t xml:space="preserve">6. Technology Stack</w:t>
      </w:r>
    </w:p>
    <w:p>
      <w:pPr>
        <w:pStyle w:val="Heading3"/>
        <w:spacing w:after="100" w:before="200"/>
      </w:pPr>
      <w:r>
        <w:rPr>
          <w:rFonts w:ascii="Arial" w:cs="Arial" w:eastAsia="Arial" w:hAnsi="Arial"/>
          <w:b/>
          <w:bCs/>
          <w:color w:val="2C4D7A"/>
          <w:sz w:val="24"/>
          <w:szCs w:val="24"/>
        </w:rPr>
        <w:t xml:space="preserve">Frontend</w:t>
      </w:r>
    </w:p>
    <w:p>
      <w:pPr>
        <w:pStyle w:val="ListParagraph"/>
        <w:numPr>
          <w:ilvl w:val="0"/>
          <w:numId w:val="2"/>
        </w:numPr>
        <w:spacing w:after="30" w:before="30"/>
      </w:pPr>
      <w:r>
        <w:rPr>
          <w:rFonts w:ascii="Arial" w:cs="Arial" w:eastAsia="Arial" w:hAnsi="Arial"/>
          <w:b/>
          <w:bCs/>
          <w:color w:val="0F172A"/>
          <w:sz w:val="22"/>
          <w:szCs w:val="22"/>
        </w:rPr>
        <w:t xml:space="preserve">React Native + NativeBase </w:t>
      </w:r>
      <w:r>
        <w:rPr>
          <w:rFonts w:ascii="Arial" w:cs="Arial" w:eastAsia="Arial" w:hAnsi="Arial"/>
          <w:color w:val="0F172A"/>
          <w:sz w:val="22"/>
          <w:szCs w:val="22"/>
        </w:rPr>
        <w:t xml:space="preserve">— iOS + Android cross-platform mobile</w:t>
      </w:r>
    </w:p>
    <w:p>
      <w:pPr>
        <w:pStyle w:val="ListParagraph"/>
        <w:numPr>
          <w:ilvl w:val="0"/>
          <w:numId w:val="2"/>
        </w:numPr>
        <w:spacing w:after="30" w:before="30"/>
      </w:pPr>
      <w:r>
        <w:rPr>
          <w:rFonts w:ascii="Arial" w:cs="Arial" w:eastAsia="Arial" w:hAnsi="Arial"/>
          <w:b/>
          <w:bCs/>
          <w:color w:val="0F172A"/>
          <w:sz w:val="22"/>
          <w:szCs w:val="22"/>
        </w:rPr>
        <w:t xml:space="preserve">Next.js 14 + shadcn/ui + Tailwind </w:t>
      </w:r>
      <w:r>
        <w:rPr>
          <w:rFonts w:ascii="Arial" w:cs="Arial" w:eastAsia="Arial" w:hAnsi="Arial"/>
          <w:color w:val="0F172A"/>
          <w:sz w:val="22"/>
          <w:szCs w:val="22"/>
        </w:rPr>
        <w:t xml:space="preserve">— Admin Console (web)</w:t>
      </w:r>
    </w:p>
    <w:p>
      <w:pPr>
        <w:pStyle w:val="ListParagraph"/>
        <w:numPr>
          <w:ilvl w:val="0"/>
          <w:numId w:val="2"/>
        </w:numPr>
        <w:spacing w:after="30" w:before="30"/>
      </w:pPr>
      <w:r>
        <w:rPr>
          <w:rFonts w:ascii="Arial" w:cs="Arial" w:eastAsia="Arial" w:hAnsi="Arial"/>
          <w:b/>
          <w:bCs/>
          <w:color w:val="0F172A"/>
          <w:sz w:val="22"/>
          <w:szCs w:val="22"/>
        </w:rPr>
        <w:t xml:space="preserve">TypeScript </w:t>
      </w:r>
      <w:r>
        <w:rPr>
          <w:rFonts w:ascii="Arial" w:cs="Arial" w:eastAsia="Arial" w:hAnsi="Arial"/>
          <w:color w:val="0F172A"/>
          <w:sz w:val="22"/>
          <w:szCs w:val="22"/>
        </w:rPr>
        <w:t xml:space="preserve">— end-to-end type safety</w:t>
      </w:r>
    </w:p>
    <w:p>
      <w:pPr>
        <w:pStyle w:val="ListParagraph"/>
        <w:numPr>
          <w:ilvl w:val="0"/>
          <w:numId w:val="2"/>
        </w:numPr>
        <w:spacing w:after="30" w:before="30"/>
      </w:pPr>
      <w:r>
        <w:rPr>
          <w:rFonts w:ascii="Arial" w:cs="Arial" w:eastAsia="Arial" w:hAnsi="Arial"/>
          <w:b/>
          <w:bCs/>
          <w:color w:val="0F172A"/>
          <w:sz w:val="22"/>
          <w:szCs w:val="22"/>
        </w:rPr>
        <w:t xml:space="preserve">Zustand </w:t>
      </w:r>
      <w:r>
        <w:rPr>
          <w:rFonts w:ascii="Arial" w:cs="Arial" w:eastAsia="Arial" w:hAnsi="Arial"/>
          <w:color w:val="0F172A"/>
          <w:sz w:val="22"/>
          <w:szCs w:val="22"/>
        </w:rPr>
        <w:t xml:space="preserve">— lightweight client-state management</w:t>
      </w:r>
    </w:p>
    <w:p>
      <w:pPr>
        <w:pStyle w:val="Heading3"/>
        <w:spacing w:after="100" w:before="200"/>
      </w:pPr>
      <w:r>
        <w:rPr>
          <w:rFonts w:ascii="Arial" w:cs="Arial" w:eastAsia="Arial" w:hAnsi="Arial"/>
          <w:b/>
          <w:bCs/>
          <w:color w:val="2C4D7A"/>
          <w:sz w:val="24"/>
          <w:szCs w:val="24"/>
        </w:rPr>
        <w:t xml:space="preserve">Backend</w:t>
      </w:r>
    </w:p>
    <w:p>
      <w:pPr>
        <w:pStyle w:val="ListParagraph"/>
        <w:numPr>
          <w:ilvl w:val="0"/>
          <w:numId w:val="2"/>
        </w:numPr>
        <w:spacing w:after="30" w:before="30"/>
      </w:pPr>
      <w:r>
        <w:rPr>
          <w:rFonts w:ascii="Arial" w:cs="Arial" w:eastAsia="Arial" w:hAnsi="Arial"/>
          <w:b/>
          <w:bCs/>
          <w:color w:val="0F172A"/>
          <w:sz w:val="22"/>
          <w:szCs w:val="22"/>
        </w:rPr>
        <w:t xml:space="preserve">Supabase </w:t>
      </w:r>
      <w:r>
        <w:rPr>
          <w:rFonts w:ascii="Arial" w:cs="Arial" w:eastAsia="Arial" w:hAnsi="Arial"/>
          <w:color w:val="0F172A"/>
          <w:sz w:val="22"/>
          <w:szCs w:val="22"/>
        </w:rPr>
        <w:t xml:space="preserve">— Auth (Email+OTP, Google, Apple SSO), PostgreSQL, Storage, Realtime</w:t>
      </w:r>
    </w:p>
    <w:p>
      <w:pPr>
        <w:pStyle w:val="ListParagraph"/>
        <w:numPr>
          <w:ilvl w:val="0"/>
          <w:numId w:val="2"/>
        </w:numPr>
        <w:spacing w:after="30" w:before="30"/>
      </w:pPr>
      <w:r>
        <w:rPr>
          <w:rFonts w:ascii="Arial" w:cs="Arial" w:eastAsia="Arial" w:hAnsi="Arial"/>
          <w:b/>
          <w:bCs/>
          <w:color w:val="0F172A"/>
          <w:sz w:val="22"/>
          <w:szCs w:val="22"/>
        </w:rPr>
        <w:t xml:space="preserve">Node.js / Next.js API routes </w:t>
      </w:r>
      <w:r>
        <w:rPr>
          <w:rFonts w:ascii="Arial" w:cs="Arial" w:eastAsia="Arial" w:hAnsi="Arial"/>
          <w:color w:val="0F172A"/>
          <w:sz w:val="22"/>
          <w:szCs w:val="22"/>
        </w:rPr>
        <w:t xml:space="preserve">— custom business logic</w:t>
      </w:r>
    </w:p>
    <w:p>
      <w:pPr>
        <w:pStyle w:val="ListParagraph"/>
        <w:numPr>
          <w:ilvl w:val="0"/>
          <w:numId w:val="2"/>
        </w:numPr>
        <w:spacing w:after="30" w:before="30"/>
      </w:pPr>
      <w:r>
        <w:rPr>
          <w:rFonts w:ascii="Arial" w:cs="Arial" w:eastAsia="Arial" w:hAnsi="Arial"/>
          <w:b/>
          <w:bCs/>
          <w:color w:val="0F172A"/>
          <w:sz w:val="22"/>
          <w:szCs w:val="22"/>
        </w:rPr>
        <w:t xml:space="preserve">Vercel AI SDK + OpenAI API </w:t>
      </w:r>
      <w:r>
        <w:rPr>
          <w:rFonts w:ascii="Arial" w:cs="Arial" w:eastAsia="Arial" w:hAnsi="Arial"/>
          <w:color w:val="0F172A"/>
          <w:sz w:val="22"/>
          <w:szCs w:val="22"/>
        </w:rPr>
        <w:t xml:space="preserve">— LLM integration with simple RAG</w:t>
      </w:r>
    </w:p>
    <w:p>
      <w:pPr>
        <w:pStyle w:val="ListParagraph"/>
        <w:numPr>
          <w:ilvl w:val="0"/>
          <w:numId w:val="2"/>
        </w:numPr>
        <w:spacing w:after="30" w:before="30"/>
      </w:pPr>
      <w:r>
        <w:rPr>
          <w:rFonts w:ascii="Arial" w:cs="Arial" w:eastAsia="Arial" w:hAnsi="Arial"/>
          <w:b/>
          <w:bCs/>
          <w:color w:val="0F172A"/>
          <w:sz w:val="22"/>
          <w:szCs w:val="22"/>
        </w:rPr>
        <w:t xml:space="preserve">Razorpay (hosted checkout) </w:t>
      </w:r>
      <w:r>
        <w:rPr>
          <w:rFonts w:ascii="Arial" w:cs="Arial" w:eastAsia="Arial" w:hAnsi="Arial"/>
          <w:color w:val="0F172A"/>
          <w:sz w:val="22"/>
          <w:szCs w:val="22"/>
        </w:rPr>
        <w:t xml:space="preserve">— payments (INR)</w:t>
      </w:r>
    </w:p>
    <w:p>
      <w:pPr>
        <w:pStyle w:val="ListParagraph"/>
        <w:numPr>
          <w:ilvl w:val="0"/>
          <w:numId w:val="2"/>
        </w:numPr>
        <w:spacing w:after="30" w:before="30"/>
      </w:pPr>
      <w:r>
        <w:rPr>
          <w:rFonts w:ascii="Arial" w:cs="Arial" w:eastAsia="Arial" w:hAnsi="Arial"/>
          <w:b/>
          <w:bCs/>
          <w:color w:val="0F172A"/>
          <w:sz w:val="22"/>
          <w:szCs w:val="22"/>
        </w:rPr>
        <w:t xml:space="preserve">Resend </w:t>
      </w:r>
      <w:r>
        <w:rPr>
          <w:rFonts w:ascii="Arial" w:cs="Arial" w:eastAsia="Arial" w:hAnsi="Arial"/>
          <w:color w:val="0F172A"/>
          <w:sz w:val="22"/>
          <w:szCs w:val="22"/>
        </w:rPr>
        <w:t xml:space="preserve">— transactional email</w:t>
      </w:r>
    </w:p>
    <w:p>
      <w:pPr>
        <w:pStyle w:val="ListParagraph"/>
        <w:numPr>
          <w:ilvl w:val="0"/>
          <w:numId w:val="2"/>
        </w:numPr>
        <w:spacing w:after="30" w:before="30"/>
      </w:pPr>
      <w:r>
        <w:rPr>
          <w:rFonts w:ascii="Arial" w:cs="Arial" w:eastAsia="Arial" w:hAnsi="Arial"/>
          <w:b/>
          <w:bCs/>
          <w:color w:val="0F172A"/>
          <w:sz w:val="22"/>
          <w:szCs w:val="22"/>
        </w:rPr>
        <w:t xml:space="preserve">Firebase Cloud Messaging </w:t>
      </w:r>
      <w:r>
        <w:rPr>
          <w:rFonts w:ascii="Arial" w:cs="Arial" w:eastAsia="Arial" w:hAnsi="Arial"/>
          <w:color w:val="0F172A"/>
          <w:sz w:val="22"/>
          <w:szCs w:val="22"/>
        </w:rPr>
        <w:t xml:space="preserve">— push notifications</w:t>
      </w:r>
    </w:p>
    <w:p>
      <w:pPr>
        <w:pStyle w:val="Heading3"/>
        <w:spacing w:after="100" w:before="200"/>
      </w:pPr>
      <w:r>
        <w:rPr>
          <w:rFonts w:ascii="Arial" w:cs="Arial" w:eastAsia="Arial" w:hAnsi="Arial"/>
          <w:b/>
          <w:bCs/>
          <w:color w:val="2C4D7A"/>
          <w:sz w:val="24"/>
          <w:szCs w:val="24"/>
        </w:rPr>
        <w:t xml:space="preserve">Infrastructure &amp; DevOps</w:t>
      </w:r>
    </w:p>
    <w:p>
      <w:pPr>
        <w:pStyle w:val="ListParagraph"/>
        <w:numPr>
          <w:ilvl w:val="0"/>
          <w:numId w:val="2"/>
        </w:numPr>
        <w:spacing w:after="30" w:before="30"/>
      </w:pPr>
      <w:r>
        <w:rPr>
          <w:rFonts w:ascii="Arial" w:cs="Arial" w:eastAsia="Arial" w:hAnsi="Arial"/>
          <w:b/>
          <w:bCs/>
          <w:color w:val="0F172A"/>
          <w:sz w:val="22"/>
          <w:szCs w:val="22"/>
        </w:rPr>
        <w:t xml:space="preserve">Railway / Fly.io </w:t>
      </w:r>
      <w:r>
        <w:rPr>
          <w:rFonts w:ascii="Arial" w:cs="Arial" w:eastAsia="Arial" w:hAnsi="Arial"/>
          <w:color w:val="0F172A"/>
          <w:sz w:val="22"/>
          <w:szCs w:val="22"/>
        </w:rPr>
        <w:t xml:space="preserve">or Vercel + Supabase — cloud hosting (single target)</w:t>
      </w:r>
    </w:p>
    <w:p>
      <w:pPr>
        <w:pStyle w:val="ListParagraph"/>
        <w:numPr>
          <w:ilvl w:val="0"/>
          <w:numId w:val="2"/>
        </w:numPr>
        <w:spacing w:after="30" w:before="30"/>
      </w:pPr>
      <w:r>
        <w:rPr>
          <w:rFonts w:ascii="Arial" w:cs="Arial" w:eastAsia="Arial" w:hAnsi="Arial"/>
          <w:b/>
          <w:bCs/>
          <w:color w:val="0F172A"/>
          <w:sz w:val="22"/>
          <w:szCs w:val="22"/>
        </w:rPr>
        <w:t xml:space="preserve">Docker </w:t>
      </w:r>
      <w:r>
        <w:rPr>
          <w:rFonts w:ascii="Arial" w:cs="Arial" w:eastAsia="Arial" w:hAnsi="Arial"/>
          <w:color w:val="0F172A"/>
          <w:sz w:val="22"/>
          <w:szCs w:val="22"/>
        </w:rPr>
        <w:t xml:space="preserve">— containerization</w:t>
      </w:r>
    </w:p>
    <w:p>
      <w:pPr>
        <w:pStyle w:val="ListParagraph"/>
        <w:numPr>
          <w:ilvl w:val="0"/>
          <w:numId w:val="2"/>
        </w:numPr>
        <w:spacing w:after="30" w:before="30"/>
      </w:pPr>
      <w:r>
        <w:rPr>
          <w:rFonts w:ascii="Arial" w:cs="Arial" w:eastAsia="Arial" w:hAnsi="Arial"/>
          <w:b/>
          <w:bCs/>
          <w:color w:val="0F172A"/>
          <w:sz w:val="22"/>
          <w:szCs w:val="22"/>
        </w:rPr>
        <w:t xml:space="preserve">GitHub Actions </w:t>
      </w:r>
      <w:r>
        <w:rPr>
          <w:rFonts w:ascii="Arial" w:cs="Arial" w:eastAsia="Arial" w:hAnsi="Arial"/>
          <w:color w:val="0F172A"/>
          <w:sz w:val="22"/>
          <w:szCs w:val="22"/>
        </w:rPr>
        <w:t xml:space="preserve">— CI/CD pipeline</w:t>
      </w:r>
    </w:p>
    <w:p>
      <w:pPr>
        <w:pStyle w:val="ListParagraph"/>
        <w:numPr>
          <w:ilvl w:val="0"/>
          <w:numId w:val="2"/>
        </w:numPr>
        <w:spacing w:after="30" w:before="30"/>
      </w:pPr>
      <w:r>
        <w:rPr>
          <w:rFonts w:ascii="Arial" w:cs="Arial" w:eastAsia="Arial" w:hAnsi="Arial"/>
          <w:b/>
          <w:bCs/>
          <w:color w:val="0F172A"/>
          <w:sz w:val="22"/>
          <w:szCs w:val="22"/>
        </w:rPr>
        <w:t xml:space="preserve">Sentry + Mixpanel </w:t>
      </w:r>
      <w:r>
        <w:rPr>
          <w:rFonts w:ascii="Arial" w:cs="Arial" w:eastAsia="Arial" w:hAnsi="Arial"/>
          <w:color w:val="0F172A"/>
          <w:sz w:val="22"/>
          <w:szCs w:val="22"/>
        </w:rPr>
        <w:t xml:space="preserve">— error monitoring + product analytics</w:t>
      </w:r>
    </w:p>
    <w:p>
      <w:r>
        <w:br w:type="page"/>
      </w:r>
    </w:p>
    <w:p>
      <w:pPr>
        <w:pStyle w:val="Heading1"/>
        <w:spacing w:after="200" w:before="360"/>
      </w:pPr>
      <w:r>
        <w:rPr>
          <w:rFonts w:ascii="Arial" w:cs="Arial" w:eastAsia="Arial" w:hAnsi="Arial"/>
          <w:b/>
          <w:bCs/>
          <w:color w:val="1F3A5F"/>
          <w:sz w:val="36"/>
          <w:szCs w:val="36"/>
        </w:rPr>
        <w:t xml:space="preserve">7. Commercials</w:t>
      </w:r>
    </w:p>
    <w:p>
      <w:pPr>
        <w:pStyle w:val="Heading2"/>
        <w:spacing w:after="140" w:before="280"/>
      </w:pPr>
      <w:r>
        <w:rPr>
          <w:rFonts w:ascii="Arial" w:cs="Arial" w:eastAsia="Arial" w:hAnsi="Arial"/>
          <w:b/>
          <w:bCs/>
          <w:color w:val="1F3A5F"/>
          <w:sz w:val="28"/>
          <w:szCs w:val="28"/>
        </w:rPr>
        <w:t xml:space="preserve">7.1 Pricing</w:t>
      </w:r>
    </w:p>
    <w:p>
      <w:pPr>
        <w:spacing w:after="60" w:before="60"/>
      </w:pPr>
      <w:r>
        <w:rPr>
          <w:rFonts w:ascii="Arial" w:cs="Arial" w:eastAsia="Arial" w:hAnsi="Arial"/>
          <w:color w:val="0F172A"/>
          <w:sz w:val="22"/>
          <w:szCs w:val="22"/>
        </w:rPr>
        <w:t xml:space="preserve">This engagement is delivered on a Fixed Price model based on a buffered effort estimate of 2,000 engineering hours. The total contract value is INR ₹45 Lakh – ₹50 Lakh, exclusive of taxes. GST will be charged additionally at the prevailing rate (currently 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2280"/>
      </w:tblGrid>
      <w:tr>
        <w:trPr>
          <w:tblHeader/>
        </w:trPr>
        <w:tc>
          <w:tcPr>
            <w:tcW w:type="dxa" w:w="42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Item</w:t>
            </w:r>
          </w:p>
        </w:tc>
        <w:tc>
          <w:tcPr>
            <w:tcW w:type="dxa" w:w="18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Hours</w:t>
            </w:r>
          </w:p>
        </w:tc>
        <w:tc>
          <w:tcPr>
            <w:tcW w:type="dxa" w:w="18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Amount (INR, Low)</w:t>
            </w:r>
          </w:p>
        </w:tc>
        <w:tc>
          <w:tcPr>
            <w:tcW w:type="dxa" w:w="22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Amount (INR, High)</w:t>
            </w:r>
          </w:p>
        </w:tc>
      </w:tr>
      <w:tr>
        <w:trPr>
          <w:tblHeader w:val="false"/>
        </w:trPr>
        <w:tc>
          <w:tcPr>
            <w:tcW w:type="dxa" w:w="4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Base engineering effort</w:t>
            </w:r>
          </w:p>
        </w:tc>
        <w:tc>
          <w:tcPr>
            <w:tcW w:type="dxa" w:w="1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1,572</w:t>
            </w:r>
          </w:p>
        </w:tc>
        <w:tc>
          <w:tcPr>
            <w:tcW w:type="dxa" w:w="1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₹35.37 Lakh</w:t>
            </w:r>
          </w:p>
        </w:tc>
        <w:tc>
          <w:tcPr>
            <w:tcW w:type="dxa" w:w="22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₹39.30 Lakh</w:t>
            </w:r>
          </w:p>
        </w:tc>
      </w:tr>
      <w:tr>
        <w:trPr>
          <w:tblHeader w:val="false"/>
        </w:trPr>
        <w:tc>
          <w:tcPr>
            <w:tcW w:type="dxa" w:w="42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Project management overhead (+10%)</w:t>
            </w:r>
          </w:p>
        </w:tc>
        <w:tc>
          <w:tcPr>
            <w:tcW w:type="dxa" w:w="1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158</w:t>
            </w:r>
          </w:p>
        </w:tc>
        <w:tc>
          <w:tcPr>
            <w:tcW w:type="dxa" w:w="1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₹3.56 Lakh</w:t>
            </w:r>
          </w:p>
        </w:tc>
        <w:tc>
          <w:tcPr>
            <w:tcW w:type="dxa" w:w="22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₹3.95 Lakh</w:t>
            </w:r>
          </w:p>
        </w:tc>
      </w:tr>
      <w:tr>
        <w:trPr>
          <w:tblHeader w:val="false"/>
        </w:trPr>
        <w:tc>
          <w:tcPr>
            <w:tcW w:type="dxa" w:w="4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Contingency buffer (~17%)</w:t>
            </w:r>
          </w:p>
        </w:tc>
        <w:tc>
          <w:tcPr>
            <w:tcW w:type="dxa" w:w="1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270</w:t>
            </w:r>
          </w:p>
        </w:tc>
        <w:tc>
          <w:tcPr>
            <w:tcW w:type="dxa" w:w="1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₹6.07 Lakh</w:t>
            </w:r>
          </w:p>
        </w:tc>
        <w:tc>
          <w:tcPr>
            <w:tcW w:type="dxa" w:w="22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₹6.75 Lakh</w:t>
            </w:r>
          </w:p>
        </w:tc>
      </w:tr>
      <w:tr>
        <w:tc>
          <w:tcPr>
            <w:tcW w:type="dxa" w:w="42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Subtotal (excl. GST)</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2,000</w:t>
            </w:r>
          </w:p>
        </w:tc>
        <w:tc>
          <w:tcPr>
            <w:tcW w:type="dxa" w:w="180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₹45.00 Lakh</w:t>
            </w:r>
          </w:p>
        </w:tc>
        <w:tc>
          <w:tcPr>
            <w:tcW w:type="dxa" w:w="2280"/>
            <w:tcBorders>
              <w:top w:val="single" w:color="CBD5E1" w:sz="6"/>
              <w:left w:val="single" w:color="CBD5E1" w:sz="6"/>
              <w:bottom w:val="single" w:color="CBD5E1" w:sz="6"/>
              <w:right w:val="single" w:color="CBD5E1" w:sz="6"/>
            </w:tcBorders>
            <w:shd w:fill="2C4D7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₹50.00 Lakh</w:t>
            </w:r>
          </w:p>
        </w:tc>
      </w:tr>
      <w:tr>
        <w:tc>
          <w:tcPr>
            <w:tcW w:type="dxa" w:w="4200"/>
            <w:tcBorders>
              <w:top w:val="single" w:color="CBD5E1" w:sz="6"/>
              <w:left w:val="single" w:color="CBD5E1" w:sz="6"/>
              <w:bottom w:val="single" w:color="CBD5E1" w:sz="6"/>
              <w:right w:val="single" w:color="CBD5E1" w:sz="6"/>
            </w:tcBorders>
            <w:shd w:fill="FEF3C7" w:val="clear"/>
            <w:tcMar>
              <w:top w:type="dxa" w:w="80"/>
              <w:left w:type="dxa" w:w="120"/>
              <w:bottom w:type="dxa" w:w="80"/>
              <w:right w:type="dxa" w:w="120"/>
            </w:tcMar>
          </w:tcPr>
          <w:p>
            <w:pPr>
              <w:spacing w:after="40" w:before="40"/>
            </w:pPr>
            <w:r>
              <w:rPr>
                <w:rFonts w:ascii="Arial" w:cs="Arial" w:eastAsia="Arial" w:hAnsi="Arial"/>
                <w:b/>
                <w:bCs/>
                <w:color w:val="1F3A5F"/>
                <w:sz w:val="22"/>
                <w:szCs w:val="22"/>
              </w:rPr>
              <w:t xml:space="preserve">GST @ 18%</w:t>
            </w:r>
          </w:p>
        </w:tc>
        <w:tc>
          <w:tcPr>
            <w:tcW w:type="dxa" w:w="1800"/>
            <w:tcBorders>
              <w:top w:val="single" w:color="CBD5E1" w:sz="6"/>
              <w:left w:val="single" w:color="CBD5E1" w:sz="6"/>
              <w:bottom w:val="single" w:color="CBD5E1" w:sz="6"/>
              <w:right w:val="single" w:color="CBD5E1" w:sz="6"/>
            </w:tcBorders>
            <w:shd w:fill="FEF3C7" w:val="clear"/>
            <w:tcMar>
              <w:top w:type="dxa" w:w="80"/>
              <w:left w:type="dxa" w:w="120"/>
              <w:bottom w:type="dxa" w:w="80"/>
              <w:right w:type="dxa" w:w="120"/>
            </w:tcMar>
          </w:tcPr>
          <w:p>
            <w:pPr>
              <w:spacing w:after="40" w:before="40"/>
              <w:jc w:val="right"/>
            </w:pPr>
            <w:r>
              <w:rPr>
                <w:rFonts w:ascii="Arial" w:cs="Arial" w:eastAsia="Arial" w:hAnsi="Arial"/>
                <w:color w:val="92400E"/>
                <w:sz w:val="22"/>
                <w:szCs w:val="22"/>
              </w:rPr>
              <w:t xml:space="preserve">—</w:t>
            </w:r>
          </w:p>
        </w:tc>
        <w:tc>
          <w:tcPr>
            <w:tcW w:type="dxa" w:w="1800"/>
            <w:tcBorders>
              <w:top w:val="single" w:color="CBD5E1" w:sz="6"/>
              <w:left w:val="single" w:color="CBD5E1" w:sz="6"/>
              <w:bottom w:val="single" w:color="CBD5E1" w:sz="6"/>
              <w:right w:val="single" w:color="CBD5E1" w:sz="6"/>
            </w:tcBorders>
            <w:shd w:fill="FEF3C7" w:val="clear"/>
            <w:tcMar>
              <w:top w:type="dxa" w:w="80"/>
              <w:left w:type="dxa" w:w="120"/>
              <w:bottom w:type="dxa" w:w="80"/>
              <w:right w:type="dxa" w:w="120"/>
            </w:tcMar>
          </w:tcPr>
          <w:p>
            <w:pPr>
              <w:spacing w:after="40" w:before="40"/>
              <w:jc w:val="right"/>
            </w:pPr>
            <w:r>
              <w:rPr>
                <w:rFonts w:ascii="Arial" w:cs="Arial" w:eastAsia="Arial" w:hAnsi="Arial"/>
                <w:b/>
                <w:bCs/>
                <w:color w:val="92400E"/>
                <w:sz w:val="22"/>
                <w:szCs w:val="22"/>
              </w:rPr>
              <w:t xml:space="preserve">₹8.10 Lakh</w:t>
            </w:r>
          </w:p>
        </w:tc>
        <w:tc>
          <w:tcPr>
            <w:tcW w:type="dxa" w:w="2280"/>
            <w:tcBorders>
              <w:top w:val="single" w:color="CBD5E1" w:sz="6"/>
              <w:left w:val="single" w:color="CBD5E1" w:sz="6"/>
              <w:bottom w:val="single" w:color="CBD5E1" w:sz="6"/>
              <w:right w:val="single" w:color="CBD5E1" w:sz="6"/>
            </w:tcBorders>
            <w:shd w:fill="FEF3C7" w:val="clear"/>
            <w:tcMar>
              <w:top w:type="dxa" w:w="80"/>
              <w:left w:type="dxa" w:w="120"/>
              <w:bottom w:type="dxa" w:w="80"/>
              <w:right w:type="dxa" w:w="120"/>
            </w:tcMar>
          </w:tcPr>
          <w:p>
            <w:pPr>
              <w:spacing w:after="40" w:before="40"/>
              <w:jc w:val="right"/>
            </w:pPr>
            <w:r>
              <w:rPr>
                <w:rFonts w:ascii="Arial" w:cs="Arial" w:eastAsia="Arial" w:hAnsi="Arial"/>
                <w:b/>
                <w:bCs/>
                <w:color w:val="92400E"/>
                <w:sz w:val="22"/>
                <w:szCs w:val="22"/>
              </w:rPr>
              <w:t xml:space="preserve">₹9.00 Lakh</w:t>
            </w:r>
          </w:p>
        </w:tc>
      </w:tr>
      <w:tr>
        <w:tc>
          <w:tcPr>
            <w:tcW w:type="dxa" w:w="42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Grand Total (incl. GST)</w:t>
            </w:r>
          </w:p>
        </w:tc>
        <w:tc>
          <w:tcPr>
            <w:tcW w:type="dxa" w:w="18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2,000</w:t>
            </w:r>
          </w:p>
        </w:tc>
        <w:tc>
          <w:tcPr>
            <w:tcW w:type="dxa" w:w="18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₹53.10 Lakh</w:t>
            </w:r>
          </w:p>
        </w:tc>
        <w:tc>
          <w:tcPr>
            <w:tcW w:type="dxa" w:w="228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₹59.00 Lakh</w:t>
            </w:r>
          </w:p>
        </w:tc>
      </w:tr>
    </w:tbl>
    <w:p>
      <w:pPr>
        <w:spacing w:after="60" w:before="60"/>
      </w:pPr>
      <w:r>
        <w:rPr>
          <w:rFonts w:ascii="Arial" w:cs="Arial" w:eastAsia="Arial" w:hAnsi="Arial"/>
          <w:color w:val="0F172A"/>
          <w:sz w:val="22"/>
          <w:szCs w:val="22"/>
        </w:rPr>
        <w:t xml:space="preserve"> </w:t>
      </w:r>
    </w:p>
    <w:p>
      <w:pPr>
        <w:pStyle w:val="Heading2"/>
        <w:spacing w:after="140" w:before="280"/>
      </w:pPr>
      <w:r>
        <w:rPr>
          <w:rFonts w:ascii="Arial" w:cs="Arial" w:eastAsia="Arial" w:hAnsi="Arial"/>
          <w:b/>
          <w:bCs/>
          <w:color w:val="1F3A5F"/>
          <w:sz w:val="28"/>
          <w:szCs w:val="28"/>
        </w:rPr>
        <w:t xml:space="preserve">7.2 Payment Schedule (30 / 30 / 30 / 10)</w:t>
      </w:r>
    </w:p>
    <w:p>
      <w:pPr>
        <w:spacing w:after="60" w:before="60"/>
      </w:pPr>
      <w:r>
        <w:rPr>
          <w:rFonts w:ascii="Arial" w:cs="Arial" w:eastAsia="Arial" w:hAnsi="Arial"/>
          <w:color w:val="0F172A"/>
          <w:sz w:val="22"/>
          <w:szCs w:val="22"/>
        </w:rPr>
        <w:t xml:space="preserve">Payments are tied to delivery milestones. Invoices are issued in INR upon milestone sign-off and are payable within 15 calendar days via bank transfer. GST @ 18% will be applied to each invoice.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180"/>
        <w:gridCol w:w="1400"/>
        <w:gridCol w:w="1700"/>
      </w:tblGrid>
      <w:tr>
        <w:trPr>
          <w:tblHeader/>
        </w:trPr>
        <w:tc>
          <w:tcPr>
            <w:tcW w:type="dxa" w:w="28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Milestone</w:t>
            </w:r>
          </w:p>
        </w:tc>
        <w:tc>
          <w:tcPr>
            <w:tcW w:type="dxa" w:w="41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Trigger</w:t>
            </w:r>
          </w:p>
        </w:tc>
        <w:tc>
          <w:tcPr>
            <w:tcW w:type="dxa" w:w="14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 of Total</w:t>
            </w:r>
          </w:p>
        </w:tc>
        <w:tc>
          <w:tcPr>
            <w:tcW w:type="dxa" w:w="17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Amount (INR, excl. GST)</w:t>
            </w:r>
          </w:p>
        </w:tc>
      </w:tr>
      <w:tr>
        <w:trPr>
          <w:tblHeader w:val="false"/>
        </w:trPr>
        <w:tc>
          <w:tcPr>
            <w:tcW w:type="dxa" w:w="2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bCs/>
                <w:color w:val="0F172A"/>
                <w:sz w:val="20"/>
                <w:szCs w:val="20"/>
              </w:rPr>
              <w:t xml:space="preserve">M1 — Kickoff</w:t>
            </w:r>
          </w:p>
        </w:tc>
        <w:tc>
          <w:tcPr>
            <w:tcW w:type="dxa" w:w="41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Contract signing + project kickoff (Week 0)</w:t>
            </w:r>
          </w:p>
        </w:tc>
        <w:tc>
          <w:tcPr>
            <w:tcW w:type="dxa" w:w="1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30%</w:t>
            </w:r>
          </w:p>
        </w:tc>
        <w:tc>
          <w:tcPr>
            <w:tcW w:type="dxa" w:w="17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₹13.50 – ₹15.00 Lakh</w:t>
            </w:r>
          </w:p>
        </w:tc>
      </w:tr>
      <w:tr>
        <w:trPr>
          <w:tblHeader w:val="false"/>
        </w:trPr>
        <w:tc>
          <w:tcPr>
            <w:tcW w:type="dxa" w:w="2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0F172A"/>
                <w:sz w:val="20"/>
                <w:szCs w:val="20"/>
              </w:rPr>
              <w:t xml:space="preserve">M2 — Mid-phase Delivery</w:t>
            </w:r>
          </w:p>
        </w:tc>
        <w:tc>
          <w:tcPr>
            <w:tcW w:type="dxa" w:w="41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Phase 2 complete: Diagnostics + Therapies + Home in staging (Week 8)</w:t>
            </w:r>
          </w:p>
        </w:tc>
        <w:tc>
          <w:tcPr>
            <w:tcW w:type="dxa" w:w="14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30%</w:t>
            </w:r>
          </w:p>
        </w:tc>
        <w:tc>
          <w:tcPr>
            <w:tcW w:type="dxa" w:w="17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₹13.50 – ₹15.00 Lakh</w:t>
            </w:r>
          </w:p>
        </w:tc>
      </w:tr>
      <w:tr>
        <w:trPr>
          <w:tblHeader w:val="false"/>
        </w:trPr>
        <w:tc>
          <w:tcPr>
            <w:tcW w:type="dxa" w:w="2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bCs/>
                <w:color w:val="0F172A"/>
                <w:sz w:val="20"/>
                <w:szCs w:val="20"/>
              </w:rPr>
              <w:t xml:space="preserve">M3 — UAT &amp; Production Ready</w:t>
            </w:r>
          </w:p>
        </w:tc>
        <w:tc>
          <w:tcPr>
            <w:tcW w:type="dxa" w:w="41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All modules feature-complete, UAT sign-off, App Store submission (Week 11–12)</w:t>
            </w:r>
          </w:p>
        </w:tc>
        <w:tc>
          <w:tcPr>
            <w:tcW w:type="dxa" w:w="1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30%</w:t>
            </w:r>
          </w:p>
        </w:tc>
        <w:tc>
          <w:tcPr>
            <w:tcW w:type="dxa" w:w="17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₹13.50 – ₹15.00 Lakh</w:t>
            </w:r>
          </w:p>
        </w:tc>
      </w:tr>
      <w:tr>
        <w:trPr>
          <w:tblHeader w:val="false"/>
        </w:trPr>
        <w:tc>
          <w:tcPr>
            <w:tcW w:type="dxa" w:w="2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0F172A"/>
                <w:sz w:val="20"/>
                <w:szCs w:val="20"/>
              </w:rPr>
              <w:t xml:space="preserve">M4 — Launch &amp; Post-Launch</w:t>
            </w:r>
          </w:p>
        </w:tc>
        <w:tc>
          <w:tcPr>
            <w:tcW w:type="dxa" w:w="41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Production release + 30-day hypercare complete (Week 14 + 30 days)</w:t>
            </w:r>
          </w:p>
        </w:tc>
        <w:tc>
          <w:tcPr>
            <w:tcW w:type="dxa" w:w="14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10%</w:t>
            </w:r>
          </w:p>
        </w:tc>
        <w:tc>
          <w:tcPr>
            <w:tcW w:type="dxa" w:w="17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₹4.50 – ₹5.00 Lakh</w:t>
            </w:r>
          </w:p>
        </w:tc>
      </w:tr>
      <w:tr>
        <w:tc>
          <w:tcPr>
            <w:tcW w:type="dxa" w:w="28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Total (excl. GST)</w:t>
            </w:r>
          </w:p>
        </w:tc>
        <w:tc>
          <w:tcPr>
            <w:tcW w:type="dxa" w:w="418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Across 4 milestones over ~17 weeks (14 delivery + 30-day post-launch). GST @ 18% added on each invoice.</w:t>
            </w:r>
          </w:p>
        </w:tc>
        <w:tc>
          <w:tcPr>
            <w:tcW w:type="dxa" w:w="14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100%</w:t>
            </w:r>
          </w:p>
        </w:tc>
        <w:tc>
          <w:tcPr>
            <w:tcW w:type="dxa" w:w="17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₹45 – ₹50 Lakh</w:t>
            </w:r>
          </w:p>
        </w:tc>
      </w:tr>
    </w:tbl>
    <w:p>
      <w:pPr>
        <w:spacing w:after="60" w:before="60"/>
      </w:pPr>
      <w:r>
        <w:rPr>
          <w:rFonts w:ascii="Arial" w:cs="Arial" w:eastAsia="Arial" w:hAnsi="Arial"/>
          <w:color w:val="0F172A"/>
          <w:sz w:val="22"/>
          <w:szCs w:val="22"/>
        </w:rPr>
        <w:t xml:space="preserve"> </w:t>
      </w:r>
    </w:p>
    <w:p>
      <w:pPr>
        <w:pStyle w:val="Heading3"/>
        <w:spacing w:after="100" w:before="200"/>
      </w:pPr>
      <w:r>
        <w:rPr>
          <w:rFonts w:ascii="Arial" w:cs="Arial" w:eastAsia="Arial" w:hAnsi="Arial"/>
          <w:b/>
          <w:bCs/>
          <w:color w:val="2C4D7A"/>
          <w:sz w:val="24"/>
          <w:szCs w:val="24"/>
        </w:rPr>
        <w:t xml:space="preserve">7.3 Out-of-Scope Change Requests</w:t>
      </w:r>
    </w:p>
    <w:p>
      <w:pPr>
        <w:spacing w:after="60" w:before="60"/>
      </w:pPr>
      <w:r>
        <w:rPr>
          <w:rFonts w:ascii="Arial" w:cs="Arial" w:eastAsia="Arial" w:hAnsi="Arial"/>
          <w:color w:val="0F172A"/>
          <w:sz w:val="22"/>
          <w:szCs w:val="22"/>
        </w:rPr>
        <w:t xml:space="preserve">Any work outside the scope defined in Sections 1–6 will be handled via a Change Request (CR). Each CR includes a written description, revised hours estimate priced consistently with the contract blended rate (approximately ₹2,250 – ₹2,500 per hour), and impact on timeline. CRs are billed separately, attract GST @ 18%, and require client sign-off before work begins.</w:t>
      </w:r>
    </w:p>
    <w:p>
      <w:pPr>
        <w:pStyle w:val="Heading3"/>
        <w:spacing w:after="100" w:before="200"/>
      </w:pPr>
      <w:r>
        <w:rPr>
          <w:rFonts w:ascii="Arial" w:cs="Arial" w:eastAsia="Arial" w:hAnsi="Arial"/>
          <w:b/>
          <w:bCs/>
          <w:color w:val="2C4D7A"/>
          <w:sz w:val="24"/>
          <w:szCs w:val="24"/>
        </w:rPr>
        <w:t xml:space="preserve">7.4 What's Included</w:t>
      </w:r>
    </w:p>
    <w:p>
      <w:pPr>
        <w:pStyle w:val="ListParagraph"/>
        <w:numPr>
          <w:ilvl w:val="0"/>
          <w:numId w:val="2"/>
        </w:numPr>
        <w:spacing w:after="30" w:before="30"/>
      </w:pPr>
      <w:r>
        <w:rPr>
          <w:rFonts w:ascii="Arial" w:cs="Arial" w:eastAsia="Arial" w:hAnsi="Arial"/>
          <w:b/>
          <w:bCs/>
          <w:color w:val="0F172A"/>
          <w:sz w:val="22"/>
          <w:szCs w:val="22"/>
        </w:rPr>
        <w:t xml:space="preserve">All engineering, design integration, QA, DevOps, and project management </w:t>
      </w:r>
      <w:r>
        <w:rPr>
          <w:rFonts w:ascii="Arial" w:cs="Arial" w:eastAsia="Arial" w:hAnsi="Arial"/>
          <w:color w:val="0F172A"/>
          <w:sz w:val="22"/>
          <w:szCs w:val="22"/>
        </w:rPr>
        <w:t xml:space="preserve">for the modules listed in Section 2.</w:t>
      </w:r>
    </w:p>
    <w:p>
      <w:pPr>
        <w:pStyle w:val="ListParagraph"/>
        <w:numPr>
          <w:ilvl w:val="0"/>
          <w:numId w:val="2"/>
        </w:numPr>
        <w:spacing w:after="30" w:before="30"/>
      </w:pPr>
      <w:r>
        <w:rPr>
          <w:rFonts w:ascii="Arial" w:cs="Arial" w:eastAsia="Arial" w:hAnsi="Arial"/>
          <w:b/>
          <w:bCs/>
          <w:color w:val="0F172A"/>
          <w:sz w:val="22"/>
          <w:szCs w:val="22"/>
        </w:rPr>
        <w:t xml:space="preserve">Cloud infrastructure setup </w:t>
      </w:r>
      <w:r>
        <w:rPr>
          <w:rFonts w:ascii="Arial" w:cs="Arial" w:eastAsia="Arial" w:hAnsi="Arial"/>
          <w:color w:val="0F172A"/>
          <w:sz w:val="22"/>
          <w:szCs w:val="22"/>
        </w:rPr>
        <w:t xml:space="preserve">(Railway/Fly.io or Vercel + Supabase). Third-party service costs (Supabase, OpenAI, Razorpay, Resend, FCM, Mixpanel, Sentry) are billed directly to the Client and are not included in this SOW.</w:t>
      </w:r>
    </w:p>
    <w:p>
      <w:pPr>
        <w:pStyle w:val="ListParagraph"/>
        <w:numPr>
          <w:ilvl w:val="0"/>
          <w:numId w:val="2"/>
        </w:numPr>
        <w:spacing w:after="30" w:before="30"/>
      </w:pPr>
      <w:r>
        <w:rPr>
          <w:rFonts w:ascii="Arial" w:cs="Arial" w:eastAsia="Arial" w:hAnsi="Arial"/>
          <w:b/>
          <w:bCs/>
          <w:color w:val="0F172A"/>
          <w:sz w:val="22"/>
          <w:szCs w:val="22"/>
        </w:rPr>
        <w:t xml:space="preserve">iOS App Store + Google Play Store submission </w:t>
      </w:r>
      <w:r>
        <w:rPr>
          <w:rFonts w:ascii="Arial" w:cs="Arial" w:eastAsia="Arial" w:hAnsi="Arial"/>
          <w:color w:val="0F172A"/>
          <w:sz w:val="22"/>
          <w:szCs w:val="22"/>
        </w:rPr>
        <w:t xml:space="preserve">(developer account fees paid by Client).</w:t>
      </w:r>
    </w:p>
    <w:p>
      <w:pPr>
        <w:pStyle w:val="ListParagraph"/>
        <w:numPr>
          <w:ilvl w:val="0"/>
          <w:numId w:val="2"/>
        </w:numPr>
        <w:spacing w:after="30" w:before="30"/>
      </w:pPr>
      <w:r>
        <w:rPr>
          <w:rFonts w:ascii="Arial" w:cs="Arial" w:eastAsia="Arial" w:hAnsi="Arial"/>
          <w:b/>
          <w:bCs/>
          <w:color w:val="0F172A"/>
          <w:sz w:val="22"/>
          <w:szCs w:val="22"/>
        </w:rPr>
        <w:t xml:space="preserve">30-day post-launch hypercare </w:t>
      </w:r>
      <w:r>
        <w:rPr>
          <w:rFonts w:ascii="Arial" w:cs="Arial" w:eastAsia="Arial" w:hAnsi="Arial"/>
          <w:color w:val="0F172A"/>
          <w:sz w:val="22"/>
          <w:szCs w:val="22"/>
        </w:rPr>
        <w:t xml:space="preserve">for critical-bug fixes related to the delivered scope.</w:t>
      </w:r>
    </w:p>
    <w:p>
      <w:r>
        <w:br w:type="page"/>
      </w:r>
    </w:p>
    <w:p>
      <w:pPr>
        <w:pStyle w:val="Heading1"/>
        <w:spacing w:after="200" w:before="360"/>
      </w:pPr>
      <w:r>
        <w:rPr>
          <w:rFonts w:ascii="Arial" w:cs="Arial" w:eastAsia="Arial" w:hAnsi="Arial"/>
          <w:b/>
          <w:bCs/>
          <w:color w:val="1F3A5F"/>
          <w:sz w:val="36"/>
          <w:szCs w:val="36"/>
        </w:rPr>
        <w:t xml:space="preserve">8. Time &amp; Pricing Justification</w:t>
      </w:r>
    </w:p>
    <w:p>
      <w:pPr>
        <w:spacing w:after="60" w:before="60"/>
      </w:pPr>
      <w:r>
        <w:rPr>
          <w:rFonts w:ascii="Arial" w:cs="Arial" w:eastAsia="Arial" w:hAnsi="Arial"/>
          <w:color w:val="0F172A"/>
          <w:sz w:val="22"/>
          <w:szCs w:val="22"/>
        </w:rPr>
        <w:t xml:space="preserve">This section explains how the 2,000-hour effort estimate and ₹45–50 Lakh contract value were derived, and how they compare against alternative delivery paths. It is provided to support the SOW with transparent reasoning behind both the timeline and the price.</w:t>
      </w:r>
    </w:p>
    <w:p>
      <w:pPr>
        <w:pStyle w:val="Heading2"/>
        <w:spacing w:after="140" w:before="280"/>
      </w:pPr>
      <w:r>
        <w:rPr>
          <w:rFonts w:ascii="Arial" w:cs="Arial" w:eastAsia="Arial" w:hAnsi="Arial"/>
          <w:b/>
          <w:bCs/>
          <w:color w:val="1F3A5F"/>
          <w:sz w:val="28"/>
          <w:szCs w:val="28"/>
        </w:rPr>
        <w:t xml:space="preserve">8.1 How the 2,000-Hour Estimate Was Built</w:t>
      </w:r>
    </w:p>
    <w:p>
      <w:pPr>
        <w:spacing w:after="60" w:before="60"/>
      </w:pPr>
      <w:r>
        <w:rPr>
          <w:rFonts w:ascii="Arial" w:cs="Arial" w:eastAsia="Arial" w:hAnsi="Arial"/>
          <w:color w:val="0F172A"/>
          <w:sz w:val="22"/>
          <w:szCs w:val="22"/>
        </w:rPr>
        <w:t xml:space="preserve">The estimate is bottom-up, derived from the detailed module-level breakdown in Section 2. Each module was decomposed into feature areas, each feature area was sized against a 4-tier complexity rubric (Low / Medium / High / Very High), and frontend and backend hours were estimated independently. The 8 module subtotals roll up to a deterministic base of 1,572 engineering hours.</w:t>
      </w:r>
    </w:p>
    <w:p>
      <w:pPr>
        <w:pStyle w:val="ListParagraph"/>
        <w:numPr>
          <w:ilvl w:val="0"/>
          <w:numId w:val="2"/>
        </w:numPr>
        <w:spacing w:after="30" w:before="30"/>
      </w:pPr>
      <w:r>
        <w:rPr>
          <w:rFonts w:ascii="Arial" w:cs="Arial" w:eastAsia="Arial" w:hAnsi="Arial"/>
          <w:b/>
          <w:bCs/>
          <w:color w:val="0F172A"/>
          <w:sz w:val="22"/>
          <w:szCs w:val="22"/>
        </w:rPr>
        <w:t xml:space="preserve">Base engineering effort: </w:t>
      </w:r>
      <w:r>
        <w:rPr>
          <w:rFonts w:ascii="Arial" w:cs="Arial" w:eastAsia="Arial" w:hAnsi="Arial"/>
          <w:color w:val="0F172A"/>
          <w:sz w:val="22"/>
          <w:szCs w:val="22"/>
        </w:rPr>
        <w:t xml:space="preserve">1,572 hrs (sum of all 8 module subtotals from Section 2).</w:t>
      </w:r>
    </w:p>
    <w:p>
      <w:pPr>
        <w:pStyle w:val="ListParagraph"/>
        <w:numPr>
          <w:ilvl w:val="0"/>
          <w:numId w:val="2"/>
        </w:numPr>
        <w:spacing w:after="30" w:before="30"/>
      </w:pPr>
      <w:r>
        <w:rPr>
          <w:rFonts w:ascii="Arial" w:cs="Arial" w:eastAsia="Arial" w:hAnsi="Arial"/>
          <w:b/>
          <w:bCs/>
          <w:color w:val="0F172A"/>
          <w:sz w:val="22"/>
          <w:szCs w:val="22"/>
        </w:rPr>
        <w:t xml:space="preserve">Project management overhead: </w:t>
      </w:r>
      <w:r>
        <w:rPr>
          <w:rFonts w:ascii="Arial" w:cs="Arial" w:eastAsia="Arial" w:hAnsi="Arial"/>
          <w:color w:val="0F172A"/>
          <w:sz w:val="22"/>
          <w:szCs w:val="22"/>
        </w:rPr>
        <w:t xml:space="preserve">+158 hrs — industry-standard 10% allowance for sprint planning, weekly client demos, cross-functional coordination, risk management, and status reporting.</w:t>
      </w:r>
    </w:p>
    <w:p>
      <w:pPr>
        <w:pStyle w:val="ListParagraph"/>
        <w:numPr>
          <w:ilvl w:val="0"/>
          <w:numId w:val="2"/>
        </w:numPr>
        <w:spacing w:after="30" w:before="30"/>
      </w:pPr>
      <w:r>
        <w:rPr>
          <w:rFonts w:ascii="Arial" w:cs="Arial" w:eastAsia="Arial" w:hAnsi="Arial"/>
          <w:b/>
          <w:bCs/>
          <w:color w:val="0F172A"/>
          <w:sz w:val="22"/>
          <w:szCs w:val="22"/>
        </w:rPr>
        <w:t xml:space="preserve">Contingency buffer: </w:t>
      </w:r>
      <w:r>
        <w:rPr>
          <w:rFonts w:ascii="Arial" w:cs="Arial" w:eastAsia="Arial" w:hAnsi="Arial"/>
          <w:color w:val="0F172A"/>
          <w:sz w:val="22"/>
          <w:szCs w:val="22"/>
        </w:rPr>
        <w:t xml:space="preserve">+270 hrs (~17%) — allocated against known risk areas (see 8.2).</w:t>
      </w:r>
    </w:p>
    <w:p>
      <w:pPr>
        <w:pStyle w:val="ListParagraph"/>
        <w:numPr>
          <w:ilvl w:val="0"/>
          <w:numId w:val="2"/>
        </w:numPr>
        <w:spacing w:after="30" w:before="30"/>
      </w:pPr>
      <w:r>
        <w:rPr>
          <w:rFonts w:ascii="Arial" w:cs="Arial" w:eastAsia="Arial" w:hAnsi="Arial"/>
          <w:b/>
          <w:bCs/>
          <w:color w:val="1F3A5F"/>
          <w:sz w:val="22"/>
          <w:szCs w:val="22"/>
        </w:rPr>
        <w:t xml:space="preserve">Total buffered: </w:t>
      </w:r>
      <w:r>
        <w:rPr>
          <w:rFonts w:ascii="Arial" w:cs="Arial" w:eastAsia="Arial" w:hAnsi="Arial"/>
          <w:b/>
          <w:bCs/>
          <w:color w:val="1F3A5F"/>
          <w:sz w:val="22"/>
          <w:szCs w:val="22"/>
        </w:rPr>
        <w:t xml:space="preserve">2,000 engineering hours.</w:t>
      </w:r>
    </w:p>
    <w:p>
      <w:pPr>
        <w:pStyle w:val="Heading2"/>
        <w:spacing w:after="140" w:before="280"/>
      </w:pPr>
      <w:r>
        <w:rPr>
          <w:rFonts w:ascii="Arial" w:cs="Arial" w:eastAsia="Arial" w:hAnsi="Arial"/>
          <w:b/>
          <w:bCs/>
          <w:color w:val="1F3A5F"/>
          <w:sz w:val="28"/>
          <w:szCs w:val="28"/>
        </w:rPr>
        <w:t xml:space="preserve">8.2 Contingency Buffer Allocation</w:t>
      </w:r>
    </w:p>
    <w:p>
      <w:pPr>
        <w:spacing w:after="60" w:before="60"/>
      </w:pPr>
      <w:r>
        <w:rPr>
          <w:rFonts w:ascii="Arial" w:cs="Arial" w:eastAsia="Arial" w:hAnsi="Arial"/>
          <w:color w:val="0F172A"/>
          <w:sz w:val="22"/>
          <w:szCs w:val="22"/>
        </w:rPr>
        <w:t xml:space="preserve">The 17% buffer is not a generic markup — it is specifically allocated against identified risk areas from Section 9. This makes the buffer auditable and defensible.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rPr>
          <w:tblHeader/>
        </w:trPr>
        <w:tc>
          <w:tcPr>
            <w:tcW w:type="dxa" w:w="76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Risk Area</w:t>
            </w:r>
          </w:p>
        </w:tc>
        <w:tc>
          <w:tcPr>
            <w:tcW w:type="dxa" w:w="24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Buffer Allocation (hrs)</w:t>
            </w:r>
          </w:p>
        </w:tc>
      </w:tr>
      <w:tr>
        <w:trPr>
          <w:tblHeader w:val="false"/>
        </w:trPr>
        <w:tc>
          <w:tcPr>
            <w:tcW w:type="dxa" w:w="7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LLM prompt-tuning iterations (CHAMP AI Coach)</w:t>
            </w:r>
          </w:p>
        </w:tc>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~60 hrs</w:t>
            </w:r>
          </w:p>
        </w:tc>
      </w:tr>
      <w:tr>
        <w:trPr>
          <w:tblHeader w:val="false"/>
        </w:trPr>
        <w:tc>
          <w:tcPr>
            <w:tcW w:type="dxa" w:w="76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Clinical-team feedback cycles (biomarker scoring validation)</w:t>
            </w:r>
          </w:p>
        </w:tc>
        <w:tc>
          <w:tcPr>
            <w:tcW w:type="dxa" w:w="24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~40 hrs</w:t>
            </w:r>
          </w:p>
        </w:tc>
      </w:tr>
      <w:tr>
        <w:trPr>
          <w:tblHeader w:val="false"/>
        </w:trPr>
        <w:tc>
          <w:tcPr>
            <w:tcW w:type="dxa" w:w="7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Razorpay RBI / payment-flow compliance adjustments</w:t>
            </w:r>
          </w:p>
        </w:tc>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~30 hrs</w:t>
            </w:r>
          </w:p>
        </w:tc>
      </w:tr>
      <w:tr>
        <w:trPr>
          <w:tblHeader w:val="false"/>
        </w:trPr>
        <w:tc>
          <w:tcPr>
            <w:tcW w:type="dxa" w:w="76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App Store + Play Store review iterations</w:t>
            </w:r>
          </w:p>
        </w:tc>
        <w:tc>
          <w:tcPr>
            <w:tcW w:type="dxa" w:w="24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~30 hrs</w:t>
            </w:r>
          </w:p>
        </w:tc>
      </w:tr>
      <w:tr>
        <w:trPr>
          <w:tblHeader w:val="false"/>
        </w:trPr>
        <w:tc>
          <w:tcPr>
            <w:tcW w:type="dxa" w:w="7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Integration glue, design refinements, and unknown-unknowns</w:t>
            </w:r>
          </w:p>
        </w:tc>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~110 hrs</w:t>
            </w:r>
          </w:p>
        </w:tc>
      </w:tr>
      <w:tr>
        <w:tc>
          <w:tcPr>
            <w:tcW w:type="dxa" w:w="768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Total Contingency Buffer (~17% of base + PM)</w:t>
            </w:r>
          </w:p>
        </w:tc>
        <w:tc>
          <w:tcPr>
            <w:tcW w:type="dxa" w:w="2400"/>
            <w:tcBorders>
              <w:top w:val="single" w:color="CBD5E1" w:sz="6"/>
              <w:left w:val="single" w:color="CBD5E1" w:sz="6"/>
              <w:bottom w:val="single" w:color="CBD5E1" w:sz="6"/>
              <w:right w:val="single" w:color="CBD5E1" w:sz="6"/>
            </w:tcBorders>
            <w:shd w:fill="0F172A" w:val="clear"/>
            <w:tcMar>
              <w:top w:type="dxa" w:w="80"/>
              <w:left w:type="dxa" w:w="120"/>
              <w:bottom w:type="dxa" w:w="80"/>
              <w:right w:type="dxa" w:w="120"/>
            </w:tcMar>
          </w:tcPr>
          <w:p>
            <w:pPr>
              <w:spacing w:after="40" w:before="40"/>
              <w:jc w:val="right"/>
            </w:pPr>
            <w:r>
              <w:rPr>
                <w:rFonts w:ascii="Arial" w:cs="Arial" w:eastAsia="Arial" w:hAnsi="Arial"/>
                <w:b/>
                <w:bCs/>
                <w:color w:val="FFFFFF"/>
                <w:sz w:val="22"/>
                <w:szCs w:val="22"/>
              </w:rPr>
              <w:t xml:space="preserve">270 hrs</w:t>
            </w:r>
          </w:p>
        </w:tc>
      </w:tr>
    </w:tbl>
    <w:p>
      <w:pPr>
        <w:spacing w:after="60" w:before="60"/>
      </w:pPr>
      <w:r>
        <w:rPr>
          <w:rFonts w:ascii="Arial" w:cs="Arial" w:eastAsia="Arial" w:hAnsi="Arial"/>
          <w:color w:val="0F172A"/>
          <w:sz w:val="22"/>
          <w:szCs w:val="22"/>
        </w:rPr>
        <w:t xml:space="preserve"> </w:t>
      </w:r>
    </w:p>
    <w:p>
      <w:pPr>
        <w:pStyle w:val="Heading2"/>
        <w:spacing w:after="140" w:before="280"/>
      </w:pPr>
      <w:r>
        <w:rPr>
          <w:rFonts w:ascii="Arial" w:cs="Arial" w:eastAsia="Arial" w:hAnsi="Arial"/>
          <w:b/>
          <w:bCs/>
          <w:color w:val="1F3A5F"/>
          <w:sz w:val="28"/>
          <w:szCs w:val="28"/>
        </w:rPr>
        <w:t xml:space="preserve">8.3 Scope Reduction vs. Full-Spec Estimate</w:t>
      </w:r>
    </w:p>
    <w:p>
      <w:pPr>
        <w:spacing w:after="60" w:before="60"/>
      </w:pPr>
      <w:r>
        <w:rPr>
          <w:rFonts w:ascii="Arial" w:cs="Arial" w:eastAsia="Arial" w:hAnsi="Arial"/>
          <w:color w:val="0F172A"/>
          <w:sz w:val="22"/>
          <w:szCs w:val="22"/>
        </w:rPr>
        <w:t xml:space="preserve">The original full-product specification (Ring AIR + CGM integration, complex PhenoAge biological-age formulas, custom payment UI, ML-based recommendations, drag-and-drop program builder, 8-role RBAC, K8s deployment, formal SOC2/HIPAA audit, etc.) was scoped at approximately 3,100 engineering hours.</w:t>
      </w:r>
    </w:p>
    <w:p>
      <w:pPr>
        <w:spacing w:after="60" w:before="60"/>
      </w:pPr>
      <w:r>
        <w:rPr>
          <w:rFonts w:ascii="Arial" w:cs="Arial" w:eastAsia="Arial" w:hAnsi="Arial"/>
          <w:color w:val="0F172A"/>
          <w:sz w:val="22"/>
          <w:szCs w:val="22"/>
        </w:rPr>
        <w:t xml:space="preserve">This Lean MVP delivers the same user-facing product surface area at ~45% lower effort through deliberate, reversible trade-offs:</w:t>
      </w:r>
    </w:p>
    <w:p>
      <w:pPr>
        <w:pStyle w:val="ListParagraph"/>
        <w:numPr>
          <w:ilvl w:val="0"/>
          <w:numId w:val="2"/>
        </w:numPr>
        <w:spacing w:after="30" w:before="30"/>
      </w:pPr>
      <w:r>
        <w:rPr>
          <w:rFonts w:ascii="Arial" w:cs="Arial" w:eastAsia="Arial" w:hAnsi="Arial"/>
          <w:b/>
          <w:bCs/>
          <w:color w:val="0F172A"/>
          <w:sz w:val="22"/>
          <w:szCs w:val="22"/>
        </w:rPr>
        <w:t xml:space="preserve">Managed services </w:t>
      </w:r>
      <w:r>
        <w:rPr>
          <w:rFonts w:ascii="Arial" w:cs="Arial" w:eastAsia="Arial" w:hAnsi="Arial"/>
          <w:color w:val="0F172A"/>
          <w:sz w:val="22"/>
          <w:szCs w:val="22"/>
        </w:rPr>
        <w:t xml:space="preserve">(Supabase Auth, Postgres, Storage, Realtime) replace custom-built infrastructure — saves ~250 hrs.</w:t>
      </w:r>
    </w:p>
    <w:p>
      <w:pPr>
        <w:pStyle w:val="ListParagraph"/>
        <w:numPr>
          <w:ilvl w:val="0"/>
          <w:numId w:val="2"/>
        </w:numPr>
        <w:spacing w:after="30" w:before="30"/>
      </w:pPr>
      <w:r>
        <w:rPr>
          <w:rFonts w:ascii="Arial" w:cs="Arial" w:eastAsia="Arial" w:hAnsi="Arial"/>
          <w:b/>
          <w:bCs/>
          <w:color w:val="0F172A"/>
          <w:sz w:val="22"/>
          <w:szCs w:val="22"/>
        </w:rPr>
        <w:t xml:space="preserve">UI component libraries </w:t>
      </w:r>
      <w:r>
        <w:rPr>
          <w:rFonts w:ascii="Arial" w:cs="Arial" w:eastAsia="Arial" w:hAnsi="Arial"/>
          <w:color w:val="0F172A"/>
          <w:sz w:val="22"/>
          <w:szCs w:val="22"/>
        </w:rPr>
        <w:t xml:space="preserve">(NativeBase, shadcn/ui + Tailwind) replace custom-coded UI — saves ~40% of frontend hours.</w:t>
      </w:r>
    </w:p>
    <w:p>
      <w:pPr>
        <w:pStyle w:val="ListParagraph"/>
        <w:numPr>
          <w:ilvl w:val="0"/>
          <w:numId w:val="2"/>
        </w:numPr>
        <w:spacing w:after="30" w:before="30"/>
      </w:pPr>
      <w:r>
        <w:rPr>
          <w:rFonts w:ascii="Arial" w:cs="Arial" w:eastAsia="Arial" w:hAnsi="Arial"/>
          <w:b/>
          <w:bCs/>
          <w:color w:val="0F172A"/>
          <w:sz w:val="22"/>
          <w:szCs w:val="22"/>
        </w:rPr>
        <w:t xml:space="preserve">Hosted payment checkout </w:t>
      </w:r>
      <w:r>
        <w:rPr>
          <w:rFonts w:ascii="Arial" w:cs="Arial" w:eastAsia="Arial" w:hAnsi="Arial"/>
          <w:color w:val="0F172A"/>
          <w:sz w:val="22"/>
          <w:szCs w:val="22"/>
        </w:rPr>
        <w:t xml:space="preserve">(Razorpay hosted page) replaces a custom payment UI — saves ~30 hrs.</w:t>
      </w:r>
    </w:p>
    <w:p>
      <w:pPr>
        <w:pStyle w:val="ListParagraph"/>
        <w:numPr>
          <w:ilvl w:val="0"/>
          <w:numId w:val="2"/>
        </w:numPr>
        <w:spacing w:after="30" w:before="30"/>
      </w:pPr>
      <w:r>
        <w:rPr>
          <w:rFonts w:ascii="Arial" w:cs="Arial" w:eastAsia="Arial" w:hAnsi="Arial"/>
          <w:b/>
          <w:bCs/>
          <w:color w:val="0F172A"/>
          <w:sz w:val="22"/>
          <w:szCs w:val="22"/>
        </w:rPr>
        <w:t xml:space="preserve">Simplified v1 algorithms </w:t>
      </w:r>
      <w:r>
        <w:rPr>
          <w:rFonts w:ascii="Arial" w:cs="Arial" w:eastAsia="Arial" w:hAnsi="Arial"/>
          <w:color w:val="0F172A"/>
          <w:sz w:val="22"/>
          <w:szCs w:val="22"/>
        </w:rPr>
        <w:t xml:space="preserve">for scoring, recommendations, and admin dashboards — saves ~200 hrs collectively.</w:t>
      </w:r>
    </w:p>
    <w:p>
      <w:pPr>
        <w:pStyle w:val="ListParagraph"/>
        <w:numPr>
          <w:ilvl w:val="0"/>
          <w:numId w:val="2"/>
        </w:numPr>
        <w:spacing w:after="30" w:before="30"/>
      </w:pPr>
      <w:r>
        <w:rPr>
          <w:rFonts w:ascii="Arial" w:cs="Arial" w:eastAsia="Arial" w:hAnsi="Arial"/>
          <w:b/>
          <w:bCs/>
          <w:color w:val="0F172A"/>
          <w:sz w:val="22"/>
          <w:szCs w:val="22"/>
        </w:rPr>
        <w:t xml:space="preserve">Deferred wearable / device integration </w:t>
      </w:r>
      <w:r>
        <w:rPr>
          <w:rFonts w:ascii="Arial" w:cs="Arial" w:eastAsia="Arial" w:hAnsi="Arial"/>
          <w:color w:val="0F172A"/>
          <w:sz w:val="22"/>
          <w:szCs w:val="22"/>
        </w:rPr>
        <w:t xml:space="preserve">to a follow-on phase (+224 hrs, scoped separately as ₹5–6 Lakh add-on).</w:t>
      </w:r>
    </w:p>
    <w:p>
      <w:pPr>
        <w:spacing w:after="60" w:before="60"/>
      </w:pPr>
      <w:r>
        <w:rPr>
          <w:rFonts w:ascii="Arial" w:cs="Arial" w:eastAsia="Arial" w:hAnsi="Arial"/>
          <w:color w:val="0F172A"/>
          <w:sz w:val="22"/>
          <w:szCs w:val="22"/>
        </w:rPr>
        <w:t xml:space="preserve">Each item is a reversible decision — any of them can be added back via the Change Request process in Section 7.3 once MVP validation is complete and product-market signal is captured.</w:t>
      </w:r>
    </w:p>
    <w:p>
      <w:pPr>
        <w:pStyle w:val="Heading2"/>
        <w:spacing w:after="140" w:before="280"/>
      </w:pPr>
      <w:r>
        <w:rPr>
          <w:rFonts w:ascii="Arial" w:cs="Arial" w:eastAsia="Arial" w:hAnsi="Arial"/>
          <w:b/>
          <w:bCs/>
          <w:color w:val="1F3A5F"/>
          <w:sz w:val="28"/>
          <w:szCs w:val="28"/>
        </w:rPr>
        <w:t xml:space="preserve">8.4 Cost Efficiency vs. Comparable Vendors</w:t>
      </w:r>
    </w:p>
    <w:p>
      <w:pPr>
        <w:spacing w:after="60" w:before="60"/>
      </w:pPr>
      <w:r>
        <w:rPr>
          <w:rFonts w:ascii="Arial" w:cs="Arial" w:eastAsia="Arial" w:hAnsi="Arial"/>
          <w:color w:val="0F172A"/>
          <w:sz w:val="22"/>
          <w:szCs w:val="22"/>
        </w:rPr>
        <w:t xml:space="preserve">The same 2,000-hour scope priced through alternative delivery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gridCol w:w="2080"/>
      </w:tblGrid>
      <w:tr>
        <w:trPr>
          <w:tblHeader/>
        </w:trPr>
        <w:tc>
          <w:tcPr>
            <w:tcW w:type="dxa" w:w="30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Region / Vendor Type</w:t>
            </w:r>
          </w:p>
        </w:tc>
        <w:tc>
          <w:tcPr>
            <w:tcW w:type="dxa" w:w="20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Typical Blended Rate</w:t>
            </w:r>
          </w:p>
        </w:tc>
        <w:tc>
          <w:tcPr>
            <w:tcW w:type="dxa" w:w="30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Cost for 2,000 hrs</w:t>
            </w:r>
          </w:p>
        </w:tc>
        <w:tc>
          <w:tcPr>
            <w:tcW w:type="dxa" w:w="20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vs. Brilworks</w:t>
            </w:r>
          </w:p>
        </w:tc>
      </w:tr>
      <w:tr>
        <w:trPr>
          <w:tblHeader w:val="false"/>
        </w:trPr>
        <w:tc>
          <w:tcPr>
            <w:tcW w:type="dxa" w:w="3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US agency (NY / SF / Boston)</w:t>
            </w:r>
          </w:p>
        </w:tc>
        <w:tc>
          <w:tcPr>
            <w:tcW w:type="dxa" w:w="2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$125 – $175 / hr</w:t>
            </w:r>
          </w:p>
        </w:tc>
        <w:tc>
          <w:tcPr>
            <w:tcW w:type="dxa" w:w="3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$250K – $350K (₹2.1 – ₹2.9 Cr)</w:t>
            </w:r>
          </w:p>
        </w:tc>
        <w:tc>
          <w:tcPr>
            <w:tcW w:type="dxa" w:w="2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4.5× – 6.5×</w:t>
            </w:r>
          </w:p>
        </w:tc>
      </w:tr>
      <w:tr>
        <w:trPr>
          <w:tblHeader w:val="false"/>
        </w:trPr>
        <w:tc>
          <w:tcPr>
            <w:tcW w:type="dxa" w:w="3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Western Europe (UK, NL, DE)</w:t>
            </w:r>
          </w:p>
        </w:tc>
        <w:tc>
          <w:tcPr>
            <w:tcW w:type="dxa" w:w="2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$85 – $110 / hr</w:t>
            </w:r>
          </w:p>
        </w:tc>
        <w:tc>
          <w:tcPr>
            <w:tcW w:type="dxa" w:w="3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$170K – $220K (₹1.4 – ₹1.8 Cr)</w:t>
            </w:r>
          </w:p>
        </w:tc>
        <w:tc>
          <w:tcPr>
            <w:tcW w:type="dxa" w:w="20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3.0× – 4.0×</w:t>
            </w:r>
          </w:p>
        </w:tc>
      </w:tr>
      <w:tr>
        <w:trPr>
          <w:tblHeader w:val="false"/>
        </w:trPr>
        <w:tc>
          <w:tcPr>
            <w:tcW w:type="dxa" w:w="3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Eastern Europe (PL, RO, UA)</w:t>
            </w:r>
          </w:p>
        </w:tc>
        <w:tc>
          <w:tcPr>
            <w:tcW w:type="dxa" w:w="2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$50 – $70 / hr</w:t>
            </w:r>
          </w:p>
        </w:tc>
        <w:tc>
          <w:tcPr>
            <w:tcW w:type="dxa" w:w="3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$100K – $140K (₹85L – ₹1.2 Cr)</w:t>
            </w:r>
          </w:p>
        </w:tc>
        <w:tc>
          <w:tcPr>
            <w:tcW w:type="dxa" w:w="2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1.8× – 2.5×</w:t>
            </w:r>
          </w:p>
        </w:tc>
      </w:tr>
      <w:tr>
        <w:trPr>
          <w:tblHeader w:val="false"/>
        </w:trPr>
        <w:tc>
          <w:tcPr>
            <w:tcW w:type="dxa" w:w="3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LATAM (BR, MX, AR)</w:t>
            </w:r>
          </w:p>
        </w:tc>
        <w:tc>
          <w:tcPr>
            <w:tcW w:type="dxa" w:w="2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$45 – $65 / hr</w:t>
            </w:r>
          </w:p>
        </w:tc>
        <w:tc>
          <w:tcPr>
            <w:tcW w:type="dxa" w:w="30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$90K – $130K (₹76L – ₹1.1 Cr)</w:t>
            </w:r>
          </w:p>
        </w:tc>
        <w:tc>
          <w:tcPr>
            <w:tcW w:type="dxa" w:w="20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1.7× – 2.3×</w:t>
            </w:r>
          </w:p>
        </w:tc>
      </w:tr>
      <w:tr>
        <w:trPr>
          <w:tblHeader w:val="false"/>
        </w:trPr>
        <w:tc>
          <w:tcPr>
            <w:tcW w:type="dxa" w:w="3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India — Tier 1 boutiques</w:t>
            </w:r>
          </w:p>
        </w:tc>
        <w:tc>
          <w:tcPr>
            <w:tcW w:type="dxa" w:w="2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$30 – $45 / hr</w:t>
            </w:r>
          </w:p>
        </w:tc>
        <w:tc>
          <w:tcPr>
            <w:tcW w:type="dxa" w:w="3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$60K – $90K (₹51L – ₹76L)</w:t>
            </w:r>
          </w:p>
        </w:tc>
        <w:tc>
          <w:tcPr>
            <w:tcW w:type="dxa" w:w="2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right"/>
            </w:pPr>
            <w:r>
              <w:rPr>
                <w:rFonts w:ascii="Arial" w:cs="Arial" w:eastAsia="Arial" w:hAnsi="Arial"/>
                <w:b w:val="false"/>
                <w:bCs w:val="false"/>
                <w:color w:val="0F172A"/>
                <w:sz w:val="20"/>
                <w:szCs w:val="20"/>
              </w:rPr>
              <w:t xml:space="preserve">1.1× – 1.5×</w:t>
            </w:r>
          </w:p>
        </w:tc>
      </w:tr>
      <w:tr>
        <w:trPr>
          <w:tblHeader w:val="false"/>
        </w:trPr>
        <w:tc>
          <w:tcPr>
            <w:tcW w:type="dxa" w:w="3000"/>
            <w:tcBorders>
              <w:top w:val="single" w:color="CBD5E1" w:sz="6"/>
              <w:left w:val="single" w:color="CBD5E1" w:sz="6"/>
              <w:bottom w:val="single" w:color="CBD5E1" w:sz="6"/>
              <w:right w:val="single" w:color="CBD5E1" w:sz="6"/>
            </w:tcBorders>
            <w:shd w:fill="16653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Brilworks Software LLP (this SOW)</w:t>
            </w:r>
          </w:p>
        </w:tc>
        <w:tc>
          <w:tcPr>
            <w:tcW w:type="dxa" w:w="2000"/>
            <w:tcBorders>
              <w:top w:val="single" w:color="CBD5E1" w:sz="6"/>
              <w:left w:val="single" w:color="CBD5E1" w:sz="6"/>
              <w:bottom w:val="single" w:color="CBD5E1" w:sz="6"/>
              <w:right w:val="single" w:color="CBD5E1" w:sz="6"/>
            </w:tcBorders>
            <w:shd w:fill="166534"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~$25 / hr (₹2,250 – 2,500)</w:t>
            </w:r>
          </w:p>
        </w:tc>
        <w:tc>
          <w:tcPr>
            <w:tcW w:type="dxa" w:w="3000"/>
            <w:tcBorders>
              <w:top w:val="single" w:color="CBD5E1" w:sz="6"/>
              <w:left w:val="single" w:color="CBD5E1" w:sz="6"/>
              <w:bottom w:val="single" w:color="CBD5E1" w:sz="6"/>
              <w:right w:val="single" w:color="CBD5E1" w:sz="6"/>
            </w:tcBorders>
            <w:shd w:fill="166534"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₹45 – ₹50 Lakh</w:t>
            </w:r>
          </w:p>
        </w:tc>
        <w:tc>
          <w:tcPr>
            <w:tcW w:type="dxa" w:w="2080"/>
            <w:tcBorders>
              <w:top w:val="single" w:color="CBD5E1" w:sz="6"/>
              <w:left w:val="single" w:color="CBD5E1" w:sz="6"/>
              <w:bottom w:val="single" w:color="CBD5E1" w:sz="6"/>
              <w:right w:val="single" w:color="CBD5E1" w:sz="6"/>
            </w:tcBorders>
            <w:shd w:fill="166534" w:val="clear"/>
            <w:tcMar>
              <w:top w:type="dxa" w:w="80"/>
              <w:left w:type="dxa" w:w="120"/>
              <w:bottom w:type="dxa" w:w="80"/>
              <w:right w:type="dxa" w:w="120"/>
            </w:tcMar>
          </w:tcPr>
          <w:p>
            <w:pPr>
              <w:spacing w:after="40" w:before="40"/>
              <w:jc w:val="right"/>
            </w:pPr>
            <w:r>
              <w:rPr>
                <w:rFonts w:ascii="Arial" w:cs="Arial" w:eastAsia="Arial" w:hAnsi="Arial"/>
                <w:b/>
                <w:bCs/>
                <w:color w:val="FFFFFF"/>
                <w:sz w:val="20"/>
                <w:szCs w:val="20"/>
              </w:rPr>
              <w:t xml:space="preserve">Baseline (1.0×)</w:t>
            </w:r>
          </w:p>
        </w:tc>
      </w:tr>
    </w:tbl>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Brilworks delivers this scope at the rate point of an Indian Tier-1 boutique while maintaining a delivery profile (team seniority, code-quality discipline, post-launch warranty, India-resident data hosting) comparable to higher-priced regions. The blended rate of approximately ₹2,250 – ₹2,500 / hour reflects:</w:t>
      </w:r>
    </w:p>
    <w:p>
      <w:pPr>
        <w:pStyle w:val="ListParagraph"/>
        <w:numPr>
          <w:ilvl w:val="0"/>
          <w:numId w:val="2"/>
        </w:numPr>
        <w:spacing w:after="30" w:before="30"/>
      </w:pPr>
      <w:r>
        <w:rPr>
          <w:rFonts w:ascii="Arial" w:cs="Arial" w:eastAsia="Arial" w:hAnsi="Arial"/>
          <w:b/>
          <w:bCs/>
          <w:color w:val="0F172A"/>
          <w:sz w:val="22"/>
          <w:szCs w:val="22"/>
        </w:rPr>
        <w:t xml:space="preserve">All engineers are Mid-to-Senior </w:t>
      </w:r>
      <w:r>
        <w:rPr>
          <w:rFonts w:ascii="Arial" w:cs="Arial" w:eastAsia="Arial" w:hAnsi="Arial"/>
          <w:color w:val="0F172A"/>
          <w:sz w:val="22"/>
          <w:szCs w:val="22"/>
        </w:rPr>
        <w:t xml:space="preserve">(3 – 7 years of relevant experience) — not freshers.</w:t>
      </w:r>
    </w:p>
    <w:p>
      <w:pPr>
        <w:pStyle w:val="ListParagraph"/>
        <w:numPr>
          <w:ilvl w:val="0"/>
          <w:numId w:val="2"/>
        </w:numPr>
        <w:spacing w:after="30" w:before="30"/>
      </w:pPr>
      <w:r>
        <w:rPr>
          <w:rFonts w:ascii="Arial" w:cs="Arial" w:eastAsia="Arial" w:hAnsi="Arial"/>
          <w:b/>
          <w:bCs/>
          <w:color w:val="0F172A"/>
          <w:sz w:val="22"/>
          <w:szCs w:val="22"/>
        </w:rPr>
        <w:t xml:space="preserve">Domain experience on the bench </w:t>
      </w:r>
      <w:r>
        <w:rPr>
          <w:rFonts w:ascii="Arial" w:cs="Arial" w:eastAsia="Arial" w:hAnsi="Arial"/>
          <w:color w:val="0F172A"/>
          <w:sz w:val="22"/>
          <w:szCs w:val="22"/>
        </w:rPr>
        <w:t xml:space="preserve">in healthcare / longevity, AI / LLM integration, and Indian payment compliance (RBI, Razorpay).</w:t>
      </w:r>
    </w:p>
    <w:p>
      <w:pPr>
        <w:pStyle w:val="ListParagraph"/>
        <w:numPr>
          <w:ilvl w:val="0"/>
          <w:numId w:val="2"/>
        </w:numPr>
        <w:spacing w:after="30" w:before="30"/>
      </w:pPr>
      <w:r>
        <w:rPr>
          <w:rFonts w:ascii="Arial" w:cs="Arial" w:eastAsia="Arial" w:hAnsi="Arial"/>
          <w:b/>
          <w:bCs/>
          <w:color w:val="0F172A"/>
          <w:sz w:val="22"/>
          <w:szCs w:val="22"/>
        </w:rPr>
        <w:t xml:space="preserve">Established delivery infrastructure </w:t>
      </w:r>
      <w:r>
        <w:rPr>
          <w:rFonts w:ascii="Arial" w:cs="Arial" w:eastAsia="Arial" w:hAnsi="Arial"/>
          <w:color w:val="0F172A"/>
          <w:sz w:val="22"/>
          <w:szCs w:val="22"/>
        </w:rPr>
        <w:t xml:space="preserve">— CI/CD, code review, testing standards, security review — already in place; not built per-project.</w:t>
      </w:r>
    </w:p>
    <w:p>
      <w:pPr>
        <w:pStyle w:val="ListParagraph"/>
        <w:numPr>
          <w:ilvl w:val="0"/>
          <w:numId w:val="2"/>
        </w:numPr>
        <w:spacing w:after="30" w:before="30"/>
      </w:pPr>
      <w:r>
        <w:rPr>
          <w:rFonts w:ascii="Arial" w:cs="Arial" w:eastAsia="Arial" w:hAnsi="Arial"/>
          <w:b/>
          <w:bCs/>
          <w:color w:val="0F172A"/>
          <w:sz w:val="22"/>
          <w:szCs w:val="22"/>
        </w:rPr>
        <w:t xml:space="preserve">Operational economics of an Indian delivery team </w:t>
      </w:r>
      <w:r>
        <w:rPr>
          <w:rFonts w:ascii="Arial" w:cs="Arial" w:eastAsia="Arial" w:hAnsi="Arial"/>
          <w:color w:val="0F172A"/>
          <w:sz w:val="22"/>
          <w:szCs w:val="22"/>
        </w:rPr>
        <w:t xml:space="preserve">(salary base, infrastructure cost, INR / USD differential) compounding the offshore cost advantage.</w:t>
      </w:r>
    </w:p>
    <w:p>
      <w:pPr>
        <w:pStyle w:val="Heading2"/>
        <w:spacing w:after="140" w:before="280"/>
      </w:pPr>
      <w:r>
        <w:rPr>
          <w:rFonts w:ascii="Arial" w:cs="Arial" w:eastAsia="Arial" w:hAnsi="Arial"/>
          <w:b/>
          <w:bCs/>
          <w:color w:val="1F3A5F"/>
          <w:sz w:val="28"/>
          <w:szCs w:val="28"/>
        </w:rPr>
        <w:t xml:space="preserve">8.5 Build vs. Hire vs. Vendor — Total Cost of Ownership</w:t>
      </w:r>
    </w:p>
    <w:p>
      <w:pPr>
        <w:spacing w:after="60" w:before="60"/>
      </w:pPr>
      <w:r>
        <w:rPr>
          <w:rFonts w:ascii="Arial" w:cs="Arial" w:eastAsia="Arial" w:hAnsi="Arial"/>
          <w:color w:val="0F172A"/>
          <w:sz w:val="22"/>
          <w:szCs w:val="22"/>
        </w:rPr>
        <w:t xml:space="preserve">Comparing the three realistic paths to delivering the same Lean MVP, on a Year-1 total-cost-of-ownership basis: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3080"/>
      </w:tblGrid>
      <w:tr>
        <w:trPr>
          <w:tblHeader/>
        </w:trPr>
        <w:tc>
          <w:tcPr>
            <w:tcW w:type="dxa" w:w="28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Path</w:t>
            </w:r>
          </w:p>
        </w:tc>
        <w:tc>
          <w:tcPr>
            <w:tcW w:type="dxa" w:w="24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Year-1 Cost (₹)</w:t>
            </w:r>
          </w:p>
        </w:tc>
        <w:tc>
          <w:tcPr>
            <w:tcW w:type="dxa" w:w="180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Time to Launch</w:t>
            </w:r>
          </w:p>
        </w:tc>
        <w:tc>
          <w:tcPr>
            <w:tcW w:type="dxa" w:w="3080"/>
            <w:tcBorders>
              <w:top w:val="single" w:color="CBD5E1" w:sz="6"/>
              <w:left w:val="single" w:color="CBD5E1" w:sz="6"/>
              <w:bottom w:val="single" w:color="CBD5E1" w:sz="6"/>
              <w:right w:val="single" w:color="CBD5E1" w:sz="6"/>
            </w:tcBorders>
            <w:shd w:fill="1F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 Risks</w:t>
            </w:r>
          </w:p>
        </w:tc>
      </w:tr>
      <w:tr>
        <w:trPr>
          <w:tblHeader w:val="false"/>
        </w:trPr>
        <w:tc>
          <w:tcPr>
            <w:tcW w:type="dxa" w:w="2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In-house team (5–6 hires)</w:t>
            </w:r>
          </w:p>
        </w:tc>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0F172A"/>
                <w:sz w:val="20"/>
                <w:szCs w:val="20"/>
              </w:rPr>
              <w:t xml:space="preserve">₹125 – ₹180 Lakh</w:t>
            </w:r>
          </w:p>
        </w:tc>
        <w:tc>
          <w:tcPr>
            <w:tcW w:type="dxa" w:w="1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0F172A"/>
                <w:sz w:val="20"/>
                <w:szCs w:val="20"/>
              </w:rPr>
              <w:t xml:space="preserve">7 – 9 months</w:t>
            </w:r>
          </w:p>
        </w:tc>
        <w:tc>
          <w:tcPr>
            <w:tcW w:type="dxa" w:w="3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Recruiting cycle, ramp-up, attrition, equity dilution, no proven delivery</w:t>
            </w:r>
          </w:p>
        </w:tc>
      </w:tr>
      <w:tr>
        <w:trPr>
          <w:tblHeader w:val="false"/>
        </w:trPr>
        <w:tc>
          <w:tcPr>
            <w:tcW w:type="dxa" w:w="2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US / EU vendor</w:t>
            </w:r>
          </w:p>
        </w:tc>
        <w:tc>
          <w:tcPr>
            <w:tcW w:type="dxa" w:w="24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left"/>
            </w:pPr>
            <w:r>
              <w:rPr>
                <w:rFonts w:ascii="Arial" w:cs="Arial" w:eastAsia="Arial" w:hAnsi="Arial"/>
                <w:b w:val="false"/>
                <w:bCs w:val="false"/>
                <w:color w:val="0F172A"/>
                <w:sz w:val="20"/>
                <w:szCs w:val="20"/>
              </w:rPr>
              <w:t xml:space="preserve">₹1.5 – ₹2.9 Cr</w:t>
            </w:r>
          </w:p>
        </w:tc>
        <w:tc>
          <w:tcPr>
            <w:tcW w:type="dxa" w:w="180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jc w:val="left"/>
            </w:pPr>
            <w:r>
              <w:rPr>
                <w:rFonts w:ascii="Arial" w:cs="Arial" w:eastAsia="Arial" w:hAnsi="Arial"/>
                <w:b w:val="false"/>
                <w:bCs w:val="false"/>
                <w:color w:val="0F172A"/>
                <w:sz w:val="20"/>
                <w:szCs w:val="20"/>
              </w:rPr>
              <w:t xml:space="preserve">4 – 6 months</w:t>
            </w:r>
          </w:p>
        </w:tc>
        <w:tc>
          <w:tcPr>
            <w:tcW w:type="dxa" w:w="308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Time-zone friction, high burn rate, slower iteration cycles</w:t>
            </w:r>
          </w:p>
        </w:tc>
      </w:tr>
      <w:tr>
        <w:trPr>
          <w:tblHeader w:val="false"/>
        </w:trPr>
        <w:tc>
          <w:tcPr>
            <w:tcW w:type="dxa" w:w="2800"/>
            <w:tcBorders>
              <w:top w:val="single" w:color="CBD5E1" w:sz="6"/>
              <w:left w:val="single" w:color="CBD5E1" w:sz="6"/>
              <w:bottom w:val="single" w:color="CBD5E1" w:sz="6"/>
              <w:right w:val="single" w:color="CBD5E1" w:sz="6"/>
            </w:tcBorders>
            <w:shd w:fill="DCFCE7" w:val="clear"/>
            <w:tcMar>
              <w:top w:type="dxa" w:w="80"/>
              <w:left w:type="dxa" w:w="120"/>
              <w:bottom w:type="dxa" w:w="80"/>
              <w:right w:type="dxa" w:w="120"/>
            </w:tcMar>
          </w:tcPr>
          <w:p>
            <w:pPr>
              <w:spacing w:after="40" w:before="40"/>
            </w:pPr>
            <w:r>
              <w:rPr>
                <w:rFonts w:ascii="Arial" w:cs="Arial" w:eastAsia="Arial" w:hAnsi="Arial"/>
                <w:b/>
                <w:bCs/>
                <w:color w:val="0F172A"/>
                <w:sz w:val="20"/>
                <w:szCs w:val="20"/>
              </w:rPr>
              <w:t xml:space="preserve">Brilworks (this SOW)</w:t>
            </w:r>
          </w:p>
        </w:tc>
        <w:tc>
          <w:tcPr>
            <w:tcW w:type="dxa" w:w="2400"/>
            <w:tcBorders>
              <w:top w:val="single" w:color="CBD5E1" w:sz="6"/>
              <w:left w:val="single" w:color="CBD5E1" w:sz="6"/>
              <w:bottom w:val="single" w:color="CBD5E1" w:sz="6"/>
              <w:right w:val="single" w:color="CBD5E1" w:sz="6"/>
            </w:tcBorders>
            <w:shd w:fill="DCFCE7" w:val="clear"/>
            <w:tcMar>
              <w:top w:type="dxa" w:w="80"/>
              <w:left w:type="dxa" w:w="120"/>
              <w:bottom w:type="dxa" w:w="80"/>
              <w:right w:type="dxa" w:w="120"/>
            </w:tcMar>
          </w:tcPr>
          <w:p>
            <w:pPr>
              <w:spacing w:after="40" w:before="40"/>
              <w:jc w:val="left"/>
            </w:pPr>
            <w:r>
              <w:rPr>
                <w:rFonts w:ascii="Arial" w:cs="Arial" w:eastAsia="Arial" w:hAnsi="Arial"/>
                <w:b/>
                <w:bCs/>
                <w:color w:val="0F172A"/>
                <w:sz w:val="20"/>
                <w:szCs w:val="20"/>
              </w:rPr>
              <w:t xml:space="preserve">₹45 – ₹50 Lakh</w:t>
            </w:r>
          </w:p>
        </w:tc>
        <w:tc>
          <w:tcPr>
            <w:tcW w:type="dxa" w:w="1800"/>
            <w:tcBorders>
              <w:top w:val="single" w:color="CBD5E1" w:sz="6"/>
              <w:left w:val="single" w:color="CBD5E1" w:sz="6"/>
              <w:bottom w:val="single" w:color="CBD5E1" w:sz="6"/>
              <w:right w:val="single" w:color="CBD5E1" w:sz="6"/>
            </w:tcBorders>
            <w:shd w:fill="DCFCE7" w:val="clear"/>
            <w:tcMar>
              <w:top w:type="dxa" w:w="80"/>
              <w:left w:type="dxa" w:w="120"/>
              <w:bottom w:type="dxa" w:w="80"/>
              <w:right w:type="dxa" w:w="120"/>
            </w:tcMar>
          </w:tcPr>
          <w:p>
            <w:pPr>
              <w:spacing w:after="40" w:before="40"/>
              <w:jc w:val="left"/>
            </w:pPr>
            <w:r>
              <w:rPr>
                <w:rFonts w:ascii="Arial" w:cs="Arial" w:eastAsia="Arial" w:hAnsi="Arial"/>
                <w:b/>
                <w:bCs/>
                <w:color w:val="0F172A"/>
                <w:sz w:val="20"/>
                <w:szCs w:val="20"/>
              </w:rPr>
              <w:t xml:space="preserve">12 – 14 weeks</w:t>
            </w:r>
          </w:p>
        </w:tc>
        <w:tc>
          <w:tcPr>
            <w:tcW w:type="dxa" w:w="3080"/>
            <w:tcBorders>
              <w:top w:val="single" w:color="CBD5E1" w:sz="6"/>
              <w:left w:val="single" w:color="CBD5E1" w:sz="6"/>
              <w:bottom w:val="single" w:color="CBD5E1" w:sz="6"/>
              <w:right w:val="single" w:color="CBD5E1" w:sz="6"/>
            </w:tcBorders>
            <w:shd w:fill="DCFCE7"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Defined risks in Section 9, mitigated by 17% contingency buffer</w:t>
            </w:r>
          </w:p>
        </w:tc>
      </w:tr>
    </w:tbl>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The in-house path assumes 5 – 6 engineering hires at typical Indian healthtech-startup CTC (₹15 – 25 Lakh per engineer per year, fully loaded), 3 – 4 months of recruiting time, and 2 – 3 months of ramp-up before the team is productive on this specific stack — pushing actual launch to roughly 7 – 9 months versus 12 – 14 weeks with a pre-assembled team.</w:t>
      </w:r>
    </w:p>
    <w:p>
      <w:pPr>
        <w:pStyle w:val="Heading2"/>
        <w:spacing w:after="140" w:before="280"/>
      </w:pPr>
      <w:r>
        <w:rPr>
          <w:rFonts w:ascii="Arial" w:cs="Arial" w:eastAsia="Arial" w:hAnsi="Arial"/>
          <w:b/>
          <w:bCs/>
          <w:color w:val="1F3A5F"/>
          <w:sz w:val="28"/>
          <w:szCs w:val="28"/>
        </w:rPr>
        <w:t xml:space="preserve">8.6 Why Fixed Price (vs. Time &amp; Materials)</w:t>
      </w:r>
    </w:p>
    <w:p>
      <w:pPr>
        <w:spacing w:after="60" w:before="60"/>
      </w:pPr>
      <w:r>
        <w:rPr>
          <w:rFonts w:ascii="Arial" w:cs="Arial" w:eastAsia="Arial" w:hAnsi="Arial"/>
          <w:color w:val="0F172A"/>
          <w:sz w:val="22"/>
          <w:szCs w:val="22"/>
        </w:rPr>
        <w:t xml:space="preserve">This SOW is offered on a Fixed Price basis rather than Time &amp; Materials. Both parties benefit:</w:t>
      </w:r>
    </w:p>
    <w:p>
      <w:pPr>
        <w:pStyle w:val="ListParagraph"/>
        <w:numPr>
          <w:ilvl w:val="0"/>
          <w:numId w:val="2"/>
        </w:numPr>
        <w:spacing w:after="30" w:before="30"/>
      </w:pPr>
      <w:r>
        <w:rPr>
          <w:rFonts w:ascii="Arial" w:cs="Arial" w:eastAsia="Arial" w:hAnsi="Arial"/>
          <w:b/>
          <w:bCs/>
          <w:color w:val="0F172A"/>
          <w:sz w:val="22"/>
          <w:szCs w:val="22"/>
        </w:rPr>
        <w:t xml:space="preserve">Champions Longevity </w:t>
      </w:r>
      <w:r>
        <w:rPr>
          <w:rFonts w:ascii="Arial" w:cs="Arial" w:eastAsia="Arial" w:hAnsi="Arial"/>
          <w:color w:val="0F172A"/>
          <w:sz w:val="22"/>
          <w:szCs w:val="22"/>
        </w:rPr>
        <w:t xml:space="preserve">gets a predictable total cost and predictable cash-flow milestones. If the project takes 2,200 hours instead of 2,000, the additional 200 hours are absorbed by Brilworks — not billed. Buffer-overrun risk transfers from client to vendor.</w:t>
      </w:r>
    </w:p>
    <w:p>
      <w:pPr>
        <w:pStyle w:val="ListParagraph"/>
        <w:numPr>
          <w:ilvl w:val="0"/>
          <w:numId w:val="2"/>
        </w:numPr>
        <w:spacing w:after="30" w:before="30"/>
      </w:pPr>
      <w:r>
        <w:rPr>
          <w:rFonts w:ascii="Arial" w:cs="Arial" w:eastAsia="Arial" w:hAnsi="Arial"/>
          <w:b/>
          <w:bCs/>
          <w:color w:val="0F172A"/>
          <w:sz w:val="22"/>
          <w:szCs w:val="22"/>
        </w:rPr>
        <w:t xml:space="preserve">Brilworks </w:t>
      </w:r>
      <w:r>
        <w:rPr>
          <w:rFonts w:ascii="Arial" w:cs="Arial" w:eastAsia="Arial" w:hAnsi="Arial"/>
          <w:color w:val="0F172A"/>
          <w:sz w:val="22"/>
          <w:szCs w:val="22"/>
        </w:rPr>
        <w:t xml:space="preserve">gets a clearly bounded scope (Sections 1–6) and a defined change-request process (Section 7.3) for anything outside it. Aligned incentives keep both teams focused on shipping.</w:t>
      </w:r>
    </w:p>
    <w:p>
      <w:pPr>
        <w:pStyle w:val="ListParagraph"/>
        <w:numPr>
          <w:ilvl w:val="0"/>
          <w:numId w:val="2"/>
        </w:numPr>
        <w:spacing w:after="30" w:before="30"/>
      </w:pPr>
      <w:r>
        <w:rPr>
          <w:rFonts w:ascii="Arial" w:cs="Arial" w:eastAsia="Arial" w:hAnsi="Arial"/>
          <w:b/>
          <w:bCs/>
          <w:color w:val="0F172A"/>
          <w:sz w:val="22"/>
          <w:szCs w:val="22"/>
        </w:rPr>
        <w:t xml:space="preserve">The 30 / 30 / 30 / 10 milestone structure </w:t>
      </w:r>
      <w:r>
        <w:rPr>
          <w:rFonts w:ascii="Arial" w:cs="Arial" w:eastAsia="Arial" w:hAnsi="Arial"/>
          <w:color w:val="0F172A"/>
          <w:sz w:val="22"/>
          <w:szCs w:val="22"/>
        </w:rPr>
        <w:t xml:space="preserve">ties 70% of payment to pre-launch delivery gates and 30% to launch + post-launch quality — ensuring vendor accountability through go-live and the 30-day hypercare window.</w:t>
      </w:r>
    </w:p>
    <w:p>
      <w:pPr>
        <w:pStyle w:val="Heading2"/>
        <w:spacing w:after="140" w:before="280"/>
      </w:pPr>
      <w:r>
        <w:rPr>
          <w:rFonts w:ascii="Arial" w:cs="Arial" w:eastAsia="Arial" w:hAnsi="Arial"/>
          <w:b/>
          <w:bCs/>
          <w:color w:val="1F3A5F"/>
          <w:sz w:val="28"/>
          <w:szCs w:val="28"/>
        </w:rPr>
        <w:t xml:space="preserve">8.7 Summary</w:t>
      </w:r>
    </w:p>
    <w:p>
      <w:pPr>
        <w:spacing w:after="60" w:before="60"/>
      </w:pPr>
      <w:r>
        <w:rPr>
          <w:rFonts w:ascii="Arial" w:cs="Arial" w:eastAsia="Arial" w:hAnsi="Arial"/>
          <w:color w:val="0F172A"/>
          <w:sz w:val="22"/>
          <w:szCs w:val="22"/>
        </w:rPr>
        <w:t xml:space="preserve">The 2,000-hour, ₹45–50 Lakh estimate is conservative, bottom-up, and benchmark-defensible. It reflects ~45% scope reduction from the full-product spec, a 17% identified-risk buffer, and pricing that is 1.5× – 6.5× lower than comparable Western vendors for the same delivered scope. The fixed-price + milestone-billing model transfers buffer-overrun risk to Brilworks while giving Champions Longevity cost predictability and clear delivery gates.</w:t>
      </w:r>
    </w:p>
    <w:p>
      <w:r>
        <w:br w:type="page"/>
      </w:r>
    </w:p>
    <w:p>
      <w:pPr>
        <w:pStyle w:val="Heading1"/>
        <w:spacing w:after="200" w:before="360"/>
      </w:pPr>
      <w:r>
        <w:rPr>
          <w:rFonts w:ascii="Arial" w:cs="Arial" w:eastAsia="Arial" w:hAnsi="Arial"/>
          <w:b/>
          <w:bCs/>
          <w:color w:val="1F3A5F"/>
          <w:sz w:val="36"/>
          <w:szCs w:val="36"/>
        </w:rPr>
        <w:t xml:space="preserve">9. Assumptions</w:t>
      </w:r>
    </w:p>
    <w:p>
      <w:pPr>
        <w:spacing w:after="60" w:before="60"/>
      </w:pPr>
      <w:r>
        <w:rPr>
          <w:rFonts w:ascii="Arial" w:cs="Arial" w:eastAsia="Arial" w:hAnsi="Arial"/>
          <w:color w:val="0F172A"/>
          <w:sz w:val="22"/>
          <w:szCs w:val="22"/>
        </w:rPr>
        <w:t xml:space="preserve">This estimate is built on the following assumptions. Material deviation from any of these may trigger a Change Request.</w:t>
      </w:r>
    </w:p>
    <w:p>
      <w:pPr>
        <w:pStyle w:val="ListParagraph"/>
        <w:numPr>
          <w:ilvl w:val="0"/>
          <w:numId w:val="2"/>
        </w:numPr>
        <w:spacing w:after="30" w:before="30"/>
      </w:pPr>
      <w:r>
        <w:rPr>
          <w:rFonts w:ascii="Arial" w:cs="Arial" w:eastAsia="Arial" w:hAnsi="Arial"/>
          <w:b/>
          <w:bCs/>
          <w:color w:val="0F172A"/>
          <w:sz w:val="22"/>
          <w:szCs w:val="22"/>
        </w:rPr>
        <w:t xml:space="preserve">Design is finalized </w:t>
      </w:r>
      <w:r>
        <w:rPr>
          <w:rFonts w:ascii="Arial" w:cs="Arial" w:eastAsia="Arial" w:hAnsi="Arial"/>
          <w:color w:val="0F172A"/>
          <w:sz w:val="22"/>
          <w:szCs w:val="22"/>
        </w:rPr>
        <w:t xml:space="preserve">— UI screens and design system provided by Client are stable; no major redesigns expected mid-build.</w:t>
      </w:r>
    </w:p>
    <w:p>
      <w:pPr>
        <w:pStyle w:val="ListParagraph"/>
        <w:numPr>
          <w:ilvl w:val="0"/>
          <w:numId w:val="2"/>
        </w:numPr>
        <w:spacing w:after="30" w:before="30"/>
      </w:pPr>
      <w:r>
        <w:rPr>
          <w:rFonts w:ascii="Arial" w:cs="Arial" w:eastAsia="Arial" w:hAnsi="Arial"/>
          <w:b/>
          <w:bCs/>
          <w:color w:val="0F172A"/>
          <w:sz w:val="22"/>
          <w:szCs w:val="22"/>
        </w:rPr>
        <w:t xml:space="preserve">Supabase as managed BaaS </w:t>
      </w:r>
      <w:r>
        <w:rPr>
          <w:rFonts w:ascii="Arial" w:cs="Arial" w:eastAsia="Arial" w:hAnsi="Arial"/>
          <w:color w:val="0F172A"/>
          <w:sz w:val="22"/>
          <w:szCs w:val="22"/>
        </w:rPr>
        <w:t xml:space="preserve">— Auth, PostgreSQL, Storage, and Realtime handled by Supabase (Pro tier minimum).</w:t>
      </w:r>
    </w:p>
    <w:p>
      <w:pPr>
        <w:pStyle w:val="ListParagraph"/>
        <w:numPr>
          <w:ilvl w:val="0"/>
          <w:numId w:val="2"/>
        </w:numPr>
        <w:spacing w:after="30" w:before="30"/>
      </w:pPr>
      <w:r>
        <w:rPr>
          <w:rFonts w:ascii="Arial" w:cs="Arial" w:eastAsia="Arial" w:hAnsi="Arial"/>
          <w:b/>
          <w:bCs/>
          <w:color w:val="0F172A"/>
          <w:sz w:val="22"/>
          <w:szCs w:val="22"/>
        </w:rPr>
        <w:t xml:space="preserve">UI component libraries used </w:t>
      </w:r>
      <w:r>
        <w:rPr>
          <w:rFonts w:ascii="Arial" w:cs="Arial" w:eastAsia="Arial" w:hAnsi="Arial"/>
          <w:color w:val="0F172A"/>
          <w:sz w:val="22"/>
          <w:szCs w:val="22"/>
        </w:rPr>
        <w:t xml:space="preserve">— NativeBase for mobile, shadcn/ui + Tailwind for admin.</w:t>
      </w:r>
    </w:p>
    <w:p>
      <w:pPr>
        <w:pStyle w:val="ListParagraph"/>
        <w:numPr>
          <w:ilvl w:val="0"/>
          <w:numId w:val="2"/>
        </w:numPr>
        <w:spacing w:after="30" w:before="30"/>
      </w:pPr>
      <w:r>
        <w:rPr>
          <w:rFonts w:ascii="Arial" w:cs="Arial" w:eastAsia="Arial" w:hAnsi="Arial"/>
          <w:b/>
          <w:bCs/>
          <w:color w:val="0F172A"/>
          <w:sz w:val="22"/>
          <w:szCs w:val="22"/>
        </w:rPr>
        <w:t xml:space="preserve">Razorpay hosted checkout </w:t>
      </w:r>
      <w:r>
        <w:rPr>
          <w:rFonts w:ascii="Arial" w:cs="Arial" w:eastAsia="Arial" w:hAnsi="Arial"/>
          <w:color w:val="0F172A"/>
          <w:sz w:val="22"/>
          <w:szCs w:val="22"/>
        </w:rPr>
        <w:t xml:space="preserve">— INR currency, standard hosted flow (no custom payment UI).</w:t>
      </w:r>
    </w:p>
    <w:p>
      <w:pPr>
        <w:pStyle w:val="ListParagraph"/>
        <w:numPr>
          <w:ilvl w:val="0"/>
          <w:numId w:val="2"/>
        </w:numPr>
        <w:spacing w:after="30" w:before="30"/>
      </w:pPr>
      <w:r>
        <w:rPr>
          <w:rFonts w:ascii="Arial" w:cs="Arial" w:eastAsia="Arial" w:hAnsi="Arial"/>
          <w:b/>
          <w:bCs/>
          <w:color w:val="0F172A"/>
          <w:sz w:val="22"/>
          <w:szCs w:val="22"/>
        </w:rPr>
        <w:t xml:space="preserve">LLM provider: OpenAI </w:t>
      </w:r>
      <w:r>
        <w:rPr>
          <w:rFonts w:ascii="Arial" w:cs="Arial" w:eastAsia="Arial" w:hAnsi="Arial"/>
          <w:color w:val="0F172A"/>
          <w:sz w:val="22"/>
          <w:szCs w:val="22"/>
        </w:rPr>
        <w:t xml:space="preserve">— API-based via Vercel AI SDK; no self-hosted LLM.</w:t>
      </w:r>
    </w:p>
    <w:p>
      <w:pPr>
        <w:pStyle w:val="ListParagraph"/>
        <w:numPr>
          <w:ilvl w:val="0"/>
          <w:numId w:val="2"/>
        </w:numPr>
        <w:spacing w:after="30" w:before="30"/>
      </w:pPr>
      <w:r>
        <w:rPr>
          <w:rFonts w:ascii="Arial" w:cs="Arial" w:eastAsia="Arial" w:hAnsi="Arial"/>
          <w:b/>
          <w:bCs/>
          <w:color w:val="0F172A"/>
          <w:sz w:val="22"/>
          <w:szCs w:val="22"/>
        </w:rPr>
        <w:t xml:space="preserve">Single deploy target </w:t>
      </w:r>
      <w:r>
        <w:rPr>
          <w:rFonts w:ascii="Arial" w:cs="Arial" w:eastAsia="Arial" w:hAnsi="Arial"/>
          <w:color w:val="0F172A"/>
          <w:sz w:val="22"/>
          <w:szCs w:val="22"/>
        </w:rPr>
        <w:t xml:space="preserve">— Railway/Fly.io or Vercel + Supabase. No Kubernetes, CDN tuning, or multi-region setup in MVP.</w:t>
      </w:r>
    </w:p>
    <w:p>
      <w:pPr>
        <w:pStyle w:val="ListParagraph"/>
        <w:numPr>
          <w:ilvl w:val="0"/>
          <w:numId w:val="2"/>
        </w:numPr>
        <w:spacing w:after="30" w:before="30"/>
      </w:pPr>
      <w:r>
        <w:rPr>
          <w:rFonts w:ascii="Arial" w:cs="Arial" w:eastAsia="Arial" w:hAnsi="Arial"/>
          <w:b/>
          <w:bCs/>
          <w:color w:val="0F172A"/>
          <w:sz w:val="22"/>
          <w:szCs w:val="22"/>
        </w:rPr>
        <w:t xml:space="preserve">Clinical content provided by Client </w:t>
      </w:r>
      <w:r>
        <w:rPr>
          <w:rFonts w:ascii="Arial" w:cs="Arial" w:eastAsia="Arial" w:hAnsi="Arial"/>
          <w:color w:val="0F172A"/>
          <w:sz w:val="22"/>
          <w:szCs w:val="22"/>
        </w:rPr>
        <w:t xml:space="preserve">— biomarker reference ranges, therapy descriptions, program protocols, and physician validation supplied by Champions Longevity clinical team.</w:t>
      </w:r>
    </w:p>
    <w:p>
      <w:pPr>
        <w:pStyle w:val="ListParagraph"/>
        <w:numPr>
          <w:ilvl w:val="0"/>
          <w:numId w:val="2"/>
        </w:numPr>
        <w:spacing w:after="30" w:before="30"/>
      </w:pPr>
      <w:r>
        <w:rPr>
          <w:rFonts w:ascii="Arial" w:cs="Arial" w:eastAsia="Arial" w:hAnsi="Arial"/>
          <w:b/>
          <w:bCs/>
          <w:color w:val="0F172A"/>
          <w:sz w:val="22"/>
          <w:szCs w:val="22"/>
        </w:rPr>
        <w:t xml:space="preserve">8-hour productive work day </w:t>
      </w:r>
      <w:r>
        <w:rPr>
          <w:rFonts w:ascii="Arial" w:cs="Arial" w:eastAsia="Arial" w:hAnsi="Arial"/>
          <w:color w:val="0F172A"/>
          <w:sz w:val="22"/>
          <w:szCs w:val="22"/>
        </w:rPr>
        <w:t xml:space="preserve">— 1 person-day = 8 productive engineering hours.</w:t>
      </w:r>
    </w:p>
    <w:p>
      <w:pPr>
        <w:pStyle w:val="ListParagraph"/>
        <w:numPr>
          <w:ilvl w:val="0"/>
          <w:numId w:val="2"/>
        </w:numPr>
        <w:spacing w:after="30" w:before="30"/>
      </w:pPr>
      <w:r>
        <w:rPr>
          <w:rFonts w:ascii="Arial" w:cs="Arial" w:eastAsia="Arial" w:hAnsi="Arial"/>
          <w:b/>
          <w:bCs/>
          <w:color w:val="0F172A"/>
          <w:sz w:val="22"/>
          <w:szCs w:val="22"/>
        </w:rPr>
        <w:t xml:space="preserve">Client responsiveness </w:t>
      </w:r>
      <w:r>
        <w:rPr>
          <w:rFonts w:ascii="Arial" w:cs="Arial" w:eastAsia="Arial" w:hAnsi="Arial"/>
          <w:color w:val="0F172A"/>
          <w:sz w:val="22"/>
          <w:szCs w:val="22"/>
        </w:rPr>
        <w:t xml:space="preserve">— client decisions, content, and approvals returned within 2 business days; longer delays may impact timeline.</w:t>
      </w:r>
    </w:p>
    <w:p>
      <w:pPr>
        <w:pStyle w:val="Heading1"/>
        <w:spacing w:after="200" w:before="360"/>
      </w:pPr>
      <w:r>
        <w:rPr>
          <w:rFonts w:ascii="Arial" w:cs="Arial" w:eastAsia="Arial" w:hAnsi="Arial"/>
          <w:b/>
          <w:bCs/>
          <w:color w:val="1F3A5F"/>
          <w:sz w:val="36"/>
          <w:szCs w:val="36"/>
        </w:rPr>
        <w:t xml:space="preserve">10. Risks &amp; Mitigations</w:t>
      </w:r>
    </w:p>
    <w:p>
      <w:pPr>
        <w:pStyle w:val="ListParagraph"/>
        <w:numPr>
          <w:ilvl w:val="0"/>
          <w:numId w:val="2"/>
        </w:numPr>
        <w:spacing w:after="30" w:before="30"/>
      </w:pPr>
      <w:r>
        <w:rPr>
          <w:rFonts w:ascii="Arial" w:cs="Arial" w:eastAsia="Arial" w:hAnsi="Arial"/>
          <w:b/>
          <w:bCs/>
          <w:color w:val="0F172A"/>
          <w:sz w:val="22"/>
          <w:szCs w:val="22"/>
        </w:rPr>
        <w:t xml:space="preserve">LLM prompt-tuning iterations </w:t>
      </w:r>
      <w:r>
        <w:rPr>
          <w:rFonts w:ascii="Arial" w:cs="Arial" w:eastAsia="Arial" w:hAnsi="Arial"/>
          <w:color w:val="0F172A"/>
          <w:sz w:val="22"/>
          <w:szCs w:val="22"/>
        </w:rPr>
        <w:t xml:space="preserve">— CHAMP AI may need multiple rounds of refinement. Mitigation: 15% contingency buffer covers ~2 additional rounds.</w:t>
      </w:r>
    </w:p>
    <w:p>
      <w:pPr>
        <w:pStyle w:val="ListParagraph"/>
        <w:numPr>
          <w:ilvl w:val="0"/>
          <w:numId w:val="2"/>
        </w:numPr>
        <w:spacing w:after="30" w:before="30"/>
      </w:pPr>
      <w:r>
        <w:rPr>
          <w:rFonts w:ascii="Arial" w:cs="Arial" w:eastAsia="Arial" w:hAnsi="Arial"/>
          <w:b/>
          <w:bCs/>
          <w:color w:val="0F172A"/>
          <w:sz w:val="22"/>
          <w:szCs w:val="22"/>
        </w:rPr>
        <w:t xml:space="preserve">Clinical team feedback cycles </w:t>
      </w:r>
      <w:r>
        <w:rPr>
          <w:rFonts w:ascii="Arial" w:cs="Arial" w:eastAsia="Arial" w:hAnsi="Arial"/>
          <w:color w:val="0F172A"/>
          <w:sz w:val="22"/>
          <w:szCs w:val="22"/>
        </w:rPr>
        <w:t xml:space="preserve">— biomarker scoring needs physician validation. Mitigation: async review process with weekly clinical sync.</w:t>
      </w:r>
    </w:p>
    <w:p>
      <w:pPr>
        <w:pStyle w:val="ListParagraph"/>
        <w:numPr>
          <w:ilvl w:val="0"/>
          <w:numId w:val="2"/>
        </w:numPr>
        <w:spacing w:after="30" w:before="30"/>
      </w:pPr>
      <w:r>
        <w:rPr>
          <w:rFonts w:ascii="Arial" w:cs="Arial" w:eastAsia="Arial" w:hAnsi="Arial"/>
          <w:b/>
          <w:bCs/>
          <w:color w:val="0F172A"/>
          <w:sz w:val="22"/>
          <w:szCs w:val="22"/>
        </w:rPr>
        <w:t xml:space="preserve">Razorpay / RBI compliance </w:t>
      </w:r>
      <w:r>
        <w:rPr>
          <w:rFonts w:ascii="Arial" w:cs="Arial" w:eastAsia="Arial" w:hAnsi="Arial"/>
          <w:color w:val="0F172A"/>
          <w:sz w:val="22"/>
          <w:szCs w:val="22"/>
        </w:rPr>
        <w:t xml:space="preserve">— recurring payment regulations may evolve. Mitigation: lock payment flow design in Week 4.</w:t>
      </w:r>
    </w:p>
    <w:p>
      <w:pPr>
        <w:pStyle w:val="ListParagraph"/>
        <w:numPr>
          <w:ilvl w:val="0"/>
          <w:numId w:val="2"/>
        </w:numPr>
        <w:spacing w:after="30" w:before="30"/>
      </w:pPr>
      <w:r>
        <w:rPr>
          <w:rFonts w:ascii="Arial" w:cs="Arial" w:eastAsia="Arial" w:hAnsi="Arial"/>
          <w:b/>
          <w:bCs/>
          <w:color w:val="0F172A"/>
          <w:sz w:val="22"/>
          <w:szCs w:val="22"/>
        </w:rPr>
        <w:t xml:space="preserve">App Store review time </w:t>
      </w:r>
      <w:r>
        <w:rPr>
          <w:rFonts w:ascii="Arial" w:cs="Arial" w:eastAsia="Arial" w:hAnsi="Arial"/>
          <w:color w:val="0F172A"/>
          <w:sz w:val="22"/>
          <w:szCs w:val="22"/>
        </w:rPr>
        <w:t xml:space="preserve">— Apple review can take 1–3 weeks. Mitigation: submit early (Week 11) and prepare expedited review request if needed.</w:t>
      </w:r>
    </w:p>
    <w:p>
      <w:pPr>
        <w:pStyle w:val="ListParagraph"/>
        <w:numPr>
          <w:ilvl w:val="0"/>
          <w:numId w:val="2"/>
        </w:numPr>
        <w:spacing w:after="30" w:before="30"/>
      </w:pPr>
      <w:r>
        <w:rPr>
          <w:rFonts w:ascii="Arial" w:cs="Arial" w:eastAsia="Arial" w:hAnsi="Arial"/>
          <w:b/>
          <w:bCs/>
          <w:color w:val="0F172A"/>
          <w:sz w:val="22"/>
          <w:szCs w:val="22"/>
        </w:rPr>
        <w:t xml:space="preserve">Supabase plan limits </w:t>
      </w:r>
      <w:r>
        <w:rPr>
          <w:rFonts w:ascii="Arial" w:cs="Arial" w:eastAsia="Arial" w:hAnsi="Arial"/>
          <w:color w:val="0F172A"/>
          <w:sz w:val="22"/>
          <w:szCs w:val="22"/>
        </w:rPr>
        <w:t xml:space="preserve">— may need to upgrade plan as usage grows. Mitigation: monitor at Pro tier; plan upgrade billed to Client.</w:t>
      </w:r>
    </w:p>
    <w:p>
      <w:pPr>
        <w:pStyle w:val="ListParagraph"/>
        <w:numPr>
          <w:ilvl w:val="0"/>
          <w:numId w:val="2"/>
        </w:numPr>
        <w:spacing w:after="30" w:before="30"/>
      </w:pPr>
      <w:r>
        <w:rPr>
          <w:rFonts w:ascii="Arial" w:cs="Arial" w:eastAsia="Arial" w:hAnsi="Arial"/>
          <w:b/>
          <w:bCs/>
          <w:color w:val="0F172A"/>
          <w:sz w:val="22"/>
          <w:szCs w:val="22"/>
        </w:rPr>
        <w:t xml:space="preserve">Scope creep </w:t>
      </w:r>
      <w:r>
        <w:rPr>
          <w:rFonts w:ascii="Arial" w:cs="Arial" w:eastAsia="Arial" w:hAnsi="Arial"/>
          <w:color w:val="0F172A"/>
          <w:sz w:val="22"/>
          <w:szCs w:val="22"/>
        </w:rPr>
        <w:t xml:space="preserve">— mid-flight additions can compound. Mitigation: formal CR process (Section 7.3) for all out-of-scope items.</w:t>
      </w:r>
    </w:p>
    <w:p>
      <w:r>
        <w:br w:type="page"/>
      </w:r>
    </w:p>
    <w:p>
      <w:pPr>
        <w:pStyle w:val="Heading1"/>
        <w:spacing w:after="200" w:before="360"/>
      </w:pPr>
      <w:r>
        <w:rPr>
          <w:rFonts w:ascii="Arial" w:cs="Arial" w:eastAsia="Arial" w:hAnsi="Arial"/>
          <w:b/>
          <w:bCs/>
          <w:color w:val="1F3A5F"/>
          <w:sz w:val="36"/>
          <w:szCs w:val="36"/>
        </w:rPr>
        <w:t xml:space="preserve">11. Acceptance &amp; Governance</w:t>
      </w:r>
    </w:p>
    <w:p>
      <w:pPr>
        <w:pStyle w:val="Heading2"/>
        <w:spacing w:after="140" w:before="280"/>
      </w:pPr>
      <w:r>
        <w:rPr>
          <w:rFonts w:ascii="Arial" w:cs="Arial" w:eastAsia="Arial" w:hAnsi="Arial"/>
          <w:b/>
          <w:bCs/>
          <w:color w:val="1F3A5F"/>
          <w:sz w:val="28"/>
          <w:szCs w:val="28"/>
        </w:rPr>
        <w:t xml:space="preserve">11.1 Acceptance Criteria</w:t>
      </w:r>
    </w:p>
    <w:p>
      <w:pPr>
        <w:spacing w:after="60" w:before="60"/>
      </w:pPr>
      <w:r>
        <w:rPr>
          <w:rFonts w:ascii="Arial" w:cs="Arial" w:eastAsia="Arial" w:hAnsi="Arial"/>
          <w:color w:val="0F172A"/>
          <w:sz w:val="22"/>
          <w:szCs w:val="22"/>
        </w:rPr>
        <w:t xml:space="preserve">A module is considered “accepted” when:</w:t>
      </w:r>
    </w:p>
    <w:p>
      <w:pPr>
        <w:pStyle w:val="ListParagraph"/>
        <w:numPr>
          <w:ilvl w:val="0"/>
          <w:numId w:val="2"/>
        </w:numPr>
        <w:spacing w:after="30" w:before="30"/>
      </w:pPr>
      <w:r>
        <w:rPr>
          <w:rFonts w:ascii="Arial" w:cs="Arial" w:eastAsia="Arial" w:hAnsi="Arial"/>
          <w:color w:val="0F172A"/>
          <w:sz w:val="22"/>
          <w:szCs w:val="22"/>
        </w:rPr>
        <w:t xml:space="preserve">All features in the module's Section 2 scope are functionally complete and demonstrable in the staging environment.</w:t>
      </w:r>
    </w:p>
    <w:p>
      <w:pPr>
        <w:pStyle w:val="ListParagraph"/>
        <w:numPr>
          <w:ilvl w:val="0"/>
          <w:numId w:val="2"/>
        </w:numPr>
        <w:spacing w:after="30" w:before="30"/>
      </w:pPr>
      <w:r>
        <w:rPr>
          <w:rFonts w:ascii="Arial" w:cs="Arial" w:eastAsia="Arial" w:hAnsi="Arial"/>
          <w:color w:val="0F172A"/>
          <w:sz w:val="22"/>
          <w:szCs w:val="22"/>
        </w:rPr>
        <w:t xml:space="preserve">Happy-path manual test cases pass without critical defects.</w:t>
      </w:r>
    </w:p>
    <w:p>
      <w:pPr>
        <w:pStyle w:val="ListParagraph"/>
        <w:numPr>
          <w:ilvl w:val="0"/>
          <w:numId w:val="2"/>
        </w:numPr>
        <w:spacing w:after="30" w:before="30"/>
      </w:pPr>
      <w:r>
        <w:rPr>
          <w:rFonts w:ascii="Arial" w:cs="Arial" w:eastAsia="Arial" w:hAnsi="Arial"/>
          <w:color w:val="0F172A"/>
          <w:sz w:val="22"/>
          <w:szCs w:val="22"/>
        </w:rPr>
        <w:t xml:space="preserve">Code is merged to the main branch and deployed via the CI/CD pipeline.</w:t>
      </w:r>
    </w:p>
    <w:p>
      <w:pPr>
        <w:pStyle w:val="ListParagraph"/>
        <w:numPr>
          <w:ilvl w:val="0"/>
          <w:numId w:val="2"/>
        </w:numPr>
        <w:spacing w:after="30" w:before="30"/>
      </w:pPr>
      <w:r>
        <w:rPr>
          <w:rFonts w:ascii="Arial" w:cs="Arial" w:eastAsia="Arial" w:hAnsi="Arial"/>
          <w:color w:val="0F172A"/>
          <w:sz w:val="22"/>
          <w:szCs w:val="22"/>
        </w:rPr>
        <w:t xml:space="preserve">Client provides written sign-off within 5 business days of demo (or sign-off is auto-granted if no feedback is received).</w:t>
      </w:r>
    </w:p>
    <w:p>
      <w:pPr>
        <w:pStyle w:val="Heading2"/>
        <w:spacing w:after="140" w:before="280"/>
      </w:pPr>
      <w:r>
        <w:rPr>
          <w:rFonts w:ascii="Arial" w:cs="Arial" w:eastAsia="Arial" w:hAnsi="Arial"/>
          <w:b/>
          <w:bCs/>
          <w:color w:val="1F3A5F"/>
          <w:sz w:val="28"/>
          <w:szCs w:val="28"/>
        </w:rPr>
        <w:t xml:space="preserve">11.2 Governance Cadence</w:t>
      </w:r>
    </w:p>
    <w:p>
      <w:pPr>
        <w:pStyle w:val="ListParagraph"/>
        <w:numPr>
          <w:ilvl w:val="0"/>
          <w:numId w:val="2"/>
        </w:numPr>
        <w:spacing w:after="30" w:before="30"/>
      </w:pPr>
      <w:r>
        <w:rPr>
          <w:rFonts w:ascii="Arial" w:cs="Arial" w:eastAsia="Arial" w:hAnsi="Arial"/>
          <w:b/>
          <w:bCs/>
          <w:color w:val="0F172A"/>
          <w:sz w:val="22"/>
          <w:szCs w:val="22"/>
        </w:rPr>
        <w:t xml:space="preserve">Daily standup </w:t>
      </w:r>
      <w:r>
        <w:rPr>
          <w:rFonts w:ascii="Arial" w:cs="Arial" w:eastAsia="Arial" w:hAnsi="Arial"/>
          <w:color w:val="0F172A"/>
          <w:sz w:val="22"/>
          <w:szCs w:val="22"/>
        </w:rPr>
        <w:t xml:space="preserve">— internal engineering team, 15 min.</w:t>
      </w:r>
    </w:p>
    <w:p>
      <w:pPr>
        <w:pStyle w:val="ListParagraph"/>
        <w:numPr>
          <w:ilvl w:val="0"/>
          <w:numId w:val="2"/>
        </w:numPr>
        <w:spacing w:after="30" w:before="30"/>
      </w:pPr>
      <w:r>
        <w:rPr>
          <w:rFonts w:ascii="Arial" w:cs="Arial" w:eastAsia="Arial" w:hAnsi="Arial"/>
          <w:b/>
          <w:bCs/>
          <w:color w:val="0F172A"/>
          <w:sz w:val="22"/>
          <w:szCs w:val="22"/>
        </w:rPr>
        <w:t xml:space="preserve">Weekly client status call </w:t>
      </w:r>
      <w:r>
        <w:rPr>
          <w:rFonts w:ascii="Arial" w:cs="Arial" w:eastAsia="Arial" w:hAnsi="Arial"/>
          <w:color w:val="0F172A"/>
          <w:sz w:val="22"/>
          <w:szCs w:val="22"/>
        </w:rPr>
        <w:t xml:space="preserve">— PM-led, 30 min, with written status note.</w:t>
      </w:r>
    </w:p>
    <w:p>
      <w:pPr>
        <w:pStyle w:val="ListParagraph"/>
        <w:numPr>
          <w:ilvl w:val="0"/>
          <w:numId w:val="2"/>
        </w:numPr>
        <w:spacing w:after="30" w:before="30"/>
      </w:pPr>
      <w:r>
        <w:rPr>
          <w:rFonts w:ascii="Arial" w:cs="Arial" w:eastAsia="Arial" w:hAnsi="Arial"/>
          <w:b/>
          <w:bCs/>
          <w:color w:val="0F172A"/>
          <w:sz w:val="22"/>
          <w:szCs w:val="22"/>
        </w:rPr>
        <w:t xml:space="preserve">Bi-weekly demo </w:t>
      </w:r>
      <w:r>
        <w:rPr>
          <w:rFonts w:ascii="Arial" w:cs="Arial" w:eastAsia="Arial" w:hAnsi="Arial"/>
          <w:color w:val="0F172A"/>
          <w:sz w:val="22"/>
          <w:szCs w:val="22"/>
        </w:rPr>
        <w:t xml:space="preserve">— working software walkthrough.</w:t>
      </w:r>
    </w:p>
    <w:p>
      <w:pPr>
        <w:pStyle w:val="ListParagraph"/>
        <w:numPr>
          <w:ilvl w:val="0"/>
          <w:numId w:val="2"/>
        </w:numPr>
        <w:spacing w:after="30" w:before="30"/>
      </w:pPr>
      <w:r>
        <w:rPr>
          <w:rFonts w:ascii="Arial" w:cs="Arial" w:eastAsia="Arial" w:hAnsi="Arial"/>
          <w:b/>
          <w:bCs/>
          <w:color w:val="0F172A"/>
          <w:sz w:val="22"/>
          <w:szCs w:val="22"/>
        </w:rPr>
        <w:t xml:space="preserve">Milestone review </w:t>
      </w:r>
      <w:r>
        <w:rPr>
          <w:rFonts w:ascii="Arial" w:cs="Arial" w:eastAsia="Arial" w:hAnsi="Arial"/>
          <w:color w:val="0F172A"/>
          <w:sz w:val="22"/>
          <w:szCs w:val="22"/>
        </w:rPr>
        <w:t xml:space="preserve">— formal sign-off meeting at each milestone.</w:t>
      </w:r>
    </w:p>
    <w:p>
      <w:pPr>
        <w:pStyle w:val="Heading2"/>
        <w:spacing w:after="140" w:before="280"/>
      </w:pPr>
      <w:r>
        <w:rPr>
          <w:rFonts w:ascii="Arial" w:cs="Arial" w:eastAsia="Arial" w:hAnsi="Arial"/>
          <w:b/>
          <w:bCs/>
          <w:color w:val="1F3A5F"/>
          <w:sz w:val="28"/>
          <w:szCs w:val="28"/>
        </w:rPr>
        <w:t xml:space="preserve">11.3 Communication Channels</w:t>
      </w:r>
    </w:p>
    <w:p>
      <w:pPr>
        <w:pStyle w:val="ListParagraph"/>
        <w:numPr>
          <w:ilvl w:val="0"/>
          <w:numId w:val="2"/>
        </w:numPr>
        <w:spacing w:after="30" w:before="30"/>
      </w:pPr>
      <w:r>
        <w:rPr>
          <w:rFonts w:ascii="Arial" w:cs="Arial" w:eastAsia="Arial" w:hAnsi="Arial"/>
          <w:color w:val="0F172A"/>
          <w:sz w:val="22"/>
          <w:szCs w:val="22"/>
        </w:rPr>
        <w:t xml:space="preserve">Slack (shared channel) for daily async communication.</w:t>
      </w:r>
    </w:p>
    <w:p>
      <w:pPr>
        <w:pStyle w:val="ListParagraph"/>
        <w:numPr>
          <w:ilvl w:val="0"/>
          <w:numId w:val="2"/>
        </w:numPr>
        <w:spacing w:after="30" w:before="30"/>
      </w:pPr>
      <w:r>
        <w:rPr>
          <w:rFonts w:ascii="Arial" w:cs="Arial" w:eastAsia="Arial" w:hAnsi="Arial"/>
          <w:color w:val="0F172A"/>
          <w:sz w:val="22"/>
          <w:szCs w:val="22"/>
        </w:rPr>
        <w:t xml:space="preserve">Linear / Jira for tickets and sprint board (Client invited as observer).</w:t>
      </w:r>
    </w:p>
    <w:p>
      <w:pPr>
        <w:pStyle w:val="ListParagraph"/>
        <w:numPr>
          <w:ilvl w:val="0"/>
          <w:numId w:val="2"/>
        </w:numPr>
        <w:spacing w:after="30" w:before="30"/>
      </w:pPr>
      <w:r>
        <w:rPr>
          <w:rFonts w:ascii="Arial" w:cs="Arial" w:eastAsia="Arial" w:hAnsi="Arial"/>
          <w:color w:val="0F172A"/>
          <w:sz w:val="22"/>
          <w:szCs w:val="22"/>
        </w:rPr>
        <w:t xml:space="preserve">GitHub for source code (Client invited as collaborator).</w:t>
      </w:r>
    </w:p>
    <w:p>
      <w:pPr>
        <w:pStyle w:val="ListParagraph"/>
        <w:numPr>
          <w:ilvl w:val="0"/>
          <w:numId w:val="2"/>
        </w:numPr>
        <w:spacing w:after="30" w:before="30"/>
      </w:pPr>
      <w:r>
        <w:rPr>
          <w:rFonts w:ascii="Arial" w:cs="Arial" w:eastAsia="Arial" w:hAnsi="Arial"/>
          <w:color w:val="0F172A"/>
          <w:sz w:val="22"/>
          <w:szCs w:val="22"/>
        </w:rPr>
        <w:t xml:space="preserve">Loom / Google Meet for demos and reviews.</w:t>
      </w:r>
    </w:p>
    <w:p>
      <w:r>
        <w:br w:type="page"/>
      </w:r>
    </w:p>
    <w:p>
      <w:pPr>
        <w:pStyle w:val="Heading1"/>
        <w:spacing w:after="200" w:before="360"/>
      </w:pPr>
      <w:r>
        <w:rPr>
          <w:rFonts w:ascii="Arial" w:cs="Arial" w:eastAsia="Arial" w:hAnsi="Arial"/>
          <w:b/>
          <w:bCs/>
          <w:color w:val="1F3A5F"/>
          <w:sz w:val="36"/>
          <w:szCs w:val="36"/>
        </w:rPr>
        <w:t xml:space="preserve">12. Not Included in This SOW (vs. Original MVP Scope of Work)</w:t>
      </w:r>
    </w:p>
    <w:p>
      <w:pPr>
        <w:spacing w:after="60" w:before="60"/>
      </w:pPr>
      <w:r>
        <w:rPr>
          <w:rFonts w:ascii="Arial" w:cs="Arial" w:eastAsia="Arial" w:hAnsi="Arial"/>
          <w:color w:val="0F172A"/>
          <w:sz w:val="22"/>
          <w:szCs w:val="22"/>
        </w:rPr>
        <w:t xml:space="preserve">The following items were present in the original Champions Longevity MVP Scope of Work but have been intentionally descoped, deferred, or simplified in this Lean MVP. They are documented here for transparency and can be added back via formal Change Requests or future engagement phases.</w:t>
      </w:r>
    </w:p>
    <w:p>
      <w:pPr>
        <w:pStyle w:val="Heading2"/>
        <w:spacing w:after="140" w:before="280"/>
      </w:pPr>
      <w:r>
        <w:rPr>
          <w:rFonts w:ascii="Arial" w:cs="Arial" w:eastAsia="Arial" w:hAnsi="Arial"/>
          <w:b/>
          <w:bCs/>
          <w:color w:val="1F3A5F"/>
          <w:sz w:val="28"/>
          <w:szCs w:val="28"/>
        </w:rPr>
        <w:t xml:space="preserve">12.1 Wearable &amp; Device Integration (Entirely Excluded)</w:t>
      </w:r>
    </w:p>
    <w:p>
      <w:pPr>
        <w:spacing w:after="60" w:before="60"/>
      </w:pPr>
      <w:r>
        <w:rPr>
          <w:rFonts w:ascii="Arial" w:cs="Arial" w:eastAsia="Arial" w:hAnsi="Arial"/>
          <w:color w:val="0F172A"/>
          <w:sz w:val="22"/>
          <w:szCs w:val="22"/>
        </w:rPr>
        <w:t xml:space="preserve">All wearable and IoT-device features are deferred to a follow-on “Wearables Phase”, estimated at +224 hrs (≈ $5,600 at the same blended rate).</w:t>
      </w:r>
    </w:p>
    <w:p>
      <w:pPr>
        <w:pStyle w:val="ListParagraph"/>
        <w:numPr>
          <w:ilvl w:val="0"/>
          <w:numId w:val="2"/>
        </w:numPr>
        <w:spacing w:after="30" w:before="30"/>
      </w:pPr>
      <w:r>
        <w:rPr>
          <w:rFonts w:ascii="Arial" w:cs="Arial" w:eastAsia="Arial" w:hAnsi="Arial"/>
          <w:b/>
          <w:bCs/>
          <w:color w:val="0F172A"/>
          <w:sz w:val="22"/>
          <w:szCs w:val="22"/>
        </w:rPr>
        <w:t xml:space="preserve">Ring AIR wearable integration </w:t>
      </w:r>
      <w:r>
        <w:rPr>
          <w:rFonts w:ascii="Arial" w:cs="Arial" w:eastAsia="Arial" w:hAnsi="Arial"/>
          <w:color w:val="0F172A"/>
          <w:sz w:val="22"/>
          <w:szCs w:val="22"/>
        </w:rPr>
        <w:t xml:space="preserve">— SDK setup, BLE pairing, data sync pipeline (+80 hrs).</w:t>
      </w:r>
    </w:p>
    <w:p>
      <w:pPr>
        <w:pStyle w:val="ListParagraph"/>
        <w:numPr>
          <w:ilvl w:val="0"/>
          <w:numId w:val="2"/>
        </w:numPr>
        <w:spacing w:after="30" w:before="30"/>
      </w:pPr>
      <w:r>
        <w:rPr>
          <w:rFonts w:ascii="Arial" w:cs="Arial" w:eastAsia="Arial" w:hAnsi="Arial"/>
          <w:b/>
          <w:bCs/>
          <w:color w:val="0F172A"/>
          <w:sz w:val="22"/>
          <w:szCs w:val="22"/>
        </w:rPr>
        <w:t xml:space="preserve">CGM device integration </w:t>
      </w:r>
      <w:r>
        <w:rPr>
          <w:rFonts w:ascii="Arial" w:cs="Arial" w:eastAsia="Arial" w:hAnsi="Arial"/>
          <w:color w:val="0F172A"/>
          <w:sz w:val="22"/>
          <w:szCs w:val="22"/>
        </w:rPr>
        <w:t xml:space="preserve">— BLE pairing, real-time glucose streaming (+64 hrs).</w:t>
      </w:r>
    </w:p>
    <w:p>
      <w:pPr>
        <w:pStyle w:val="ListParagraph"/>
        <w:numPr>
          <w:ilvl w:val="0"/>
          <w:numId w:val="2"/>
        </w:numPr>
        <w:spacing w:after="30" w:before="30"/>
      </w:pPr>
      <w:r>
        <w:rPr>
          <w:rFonts w:ascii="Arial" w:cs="Arial" w:eastAsia="Arial" w:hAnsi="Arial"/>
          <w:b/>
          <w:bCs/>
          <w:color w:val="0F172A"/>
          <w:sz w:val="22"/>
          <w:szCs w:val="22"/>
        </w:rPr>
        <w:t xml:space="preserve">Real-time wearable metrics on Home </w:t>
      </w:r>
      <w:r>
        <w:rPr>
          <w:rFonts w:ascii="Arial" w:cs="Arial" w:eastAsia="Arial" w:hAnsi="Arial"/>
          <w:color w:val="0F172A"/>
          <w:sz w:val="22"/>
          <w:szCs w:val="22"/>
        </w:rPr>
        <w:t xml:space="preserve">— HRV, sleep, recovery, stress live cards (+32 hrs). MVP shows “Connect Device” placeholder.</w:t>
      </w:r>
    </w:p>
    <w:p>
      <w:pPr>
        <w:pStyle w:val="ListParagraph"/>
        <w:numPr>
          <w:ilvl w:val="0"/>
          <w:numId w:val="2"/>
        </w:numPr>
        <w:spacing w:after="30" w:before="30"/>
      </w:pPr>
      <w:r>
        <w:rPr>
          <w:rFonts w:ascii="Arial" w:cs="Arial" w:eastAsia="Arial" w:hAnsi="Arial"/>
          <w:b/>
          <w:bCs/>
          <w:color w:val="0F172A"/>
          <w:sz w:val="22"/>
          <w:szCs w:val="22"/>
        </w:rPr>
        <w:t xml:space="preserve">Wearable-dependent streaks </w:t>
      </w:r>
      <w:r>
        <w:rPr>
          <w:rFonts w:ascii="Arial" w:cs="Arial" w:eastAsia="Arial" w:hAnsi="Arial"/>
          <w:color w:val="0F172A"/>
          <w:sz w:val="22"/>
          <w:szCs w:val="22"/>
        </w:rPr>
        <w:t xml:space="preserve">— activity streaks, movement goals tracking (+16 hrs).</w:t>
      </w:r>
    </w:p>
    <w:p>
      <w:pPr>
        <w:pStyle w:val="ListParagraph"/>
        <w:numPr>
          <w:ilvl w:val="0"/>
          <w:numId w:val="2"/>
        </w:numPr>
        <w:spacing w:after="30" w:before="30"/>
      </w:pPr>
      <w:r>
        <w:rPr>
          <w:rFonts w:ascii="Arial" w:cs="Arial" w:eastAsia="Arial" w:hAnsi="Arial"/>
          <w:b/>
          <w:bCs/>
          <w:color w:val="0F172A"/>
          <w:sz w:val="22"/>
          <w:szCs w:val="22"/>
        </w:rPr>
        <w:t xml:space="preserve">Score recalculation triggered by wearable events </w:t>
      </w:r>
      <w:r>
        <w:rPr>
          <w:rFonts w:ascii="Arial" w:cs="Arial" w:eastAsia="Arial" w:hAnsi="Arial"/>
          <w:color w:val="0F172A"/>
          <w:sz w:val="22"/>
          <w:szCs w:val="22"/>
        </w:rPr>
        <w:t xml:space="preserve">— real-time score updates from continuous data streams (+32 hrs). MVP recalculates on lab upload only.</w:t>
      </w:r>
    </w:p>
    <w:p>
      <w:pPr>
        <w:pStyle w:val="Heading2"/>
        <w:spacing w:after="140" w:before="280"/>
      </w:pPr>
      <w:r>
        <w:rPr>
          <w:rFonts w:ascii="Arial" w:cs="Arial" w:eastAsia="Arial" w:hAnsi="Arial"/>
          <w:b/>
          <w:bCs/>
          <w:color w:val="1F3A5F"/>
          <w:sz w:val="28"/>
          <w:szCs w:val="28"/>
        </w:rPr>
        <w:t xml:space="preserve">12.2 Diagnostics — Simplifications</w:t>
      </w:r>
    </w:p>
    <w:p>
      <w:pPr>
        <w:pStyle w:val="ListParagraph"/>
        <w:numPr>
          <w:ilvl w:val="0"/>
          <w:numId w:val="2"/>
        </w:numPr>
        <w:spacing w:after="30" w:before="30"/>
      </w:pPr>
      <w:r>
        <w:rPr>
          <w:rFonts w:ascii="Arial" w:cs="Arial" w:eastAsia="Arial" w:hAnsi="Arial"/>
          <w:b/>
          <w:bCs/>
          <w:color w:val="0F172A"/>
          <w:sz w:val="22"/>
          <w:szCs w:val="22"/>
        </w:rPr>
        <w:t xml:space="preserve">Complex PhenoAge / Klemera-Doubal biological-age formulas </w:t>
      </w:r>
      <w:r>
        <w:rPr>
          <w:rFonts w:ascii="Arial" w:cs="Arial" w:eastAsia="Arial" w:hAnsi="Arial"/>
          <w:color w:val="0F172A"/>
          <w:sz w:val="22"/>
          <w:szCs w:val="22"/>
        </w:rPr>
        <w:t xml:space="preserve">— replaced with simplified weighted-average scoring. Single biological-age method in MVP.</w:t>
      </w:r>
    </w:p>
    <w:p>
      <w:pPr>
        <w:pStyle w:val="ListParagraph"/>
        <w:numPr>
          <w:ilvl w:val="0"/>
          <w:numId w:val="2"/>
        </w:numPr>
        <w:spacing w:after="30" w:before="30"/>
      </w:pPr>
      <w:r>
        <w:rPr>
          <w:rFonts w:ascii="Arial" w:cs="Arial" w:eastAsia="Arial" w:hAnsi="Arial"/>
          <w:b/>
          <w:bCs/>
          <w:color w:val="0F172A"/>
          <w:sz w:val="22"/>
          <w:szCs w:val="22"/>
        </w:rPr>
        <w:t xml:space="preserve">PDF / lab-report OCR </w:t>
      </w:r>
      <w:r>
        <w:rPr>
          <w:rFonts w:ascii="Arial" w:cs="Arial" w:eastAsia="Arial" w:hAnsi="Arial"/>
          <w:color w:val="0F172A"/>
          <w:sz w:val="22"/>
          <w:szCs w:val="22"/>
        </w:rPr>
        <w:t xml:space="preserve">— deferred. Lab data entry via CSV upload + manual form only.</w:t>
      </w:r>
    </w:p>
    <w:p>
      <w:pPr>
        <w:pStyle w:val="ListParagraph"/>
        <w:numPr>
          <w:ilvl w:val="0"/>
          <w:numId w:val="2"/>
        </w:numPr>
        <w:spacing w:after="30" w:before="30"/>
      </w:pPr>
      <w:r>
        <w:rPr>
          <w:rFonts w:ascii="Arial" w:cs="Arial" w:eastAsia="Arial" w:hAnsi="Arial"/>
          <w:b/>
          <w:bCs/>
          <w:color w:val="0F172A"/>
          <w:sz w:val="22"/>
          <w:szCs w:val="22"/>
        </w:rPr>
        <w:t xml:space="preserve">Full 3,500+ biomarker catalog </w:t>
      </w:r>
      <w:r>
        <w:rPr>
          <w:rFonts w:ascii="Arial" w:cs="Arial" w:eastAsia="Arial" w:hAnsi="Arial"/>
          <w:color w:val="0F172A"/>
          <w:sz w:val="22"/>
          <w:szCs w:val="22"/>
        </w:rPr>
        <w:t xml:space="preserve">— MVP starts with a curated core set defined with Client clinical team. Catalog can grow post-MVP.</w:t>
      </w:r>
    </w:p>
    <w:p>
      <w:pPr>
        <w:pStyle w:val="ListParagraph"/>
        <w:numPr>
          <w:ilvl w:val="0"/>
          <w:numId w:val="2"/>
        </w:numPr>
        <w:spacing w:after="30" w:before="30"/>
      </w:pPr>
      <w:r>
        <w:rPr>
          <w:rFonts w:ascii="Arial" w:cs="Arial" w:eastAsia="Arial" w:hAnsi="Arial"/>
          <w:b/>
          <w:bCs/>
          <w:color w:val="0F172A"/>
          <w:sz w:val="22"/>
          <w:szCs w:val="22"/>
        </w:rPr>
        <w:t xml:space="preserve">Multi-system physician interpretation workflow </w:t>
      </w:r>
      <w:r>
        <w:rPr>
          <w:rFonts w:ascii="Arial" w:cs="Arial" w:eastAsia="Arial" w:hAnsi="Arial"/>
          <w:color w:val="0F172A"/>
          <w:sz w:val="22"/>
          <w:szCs w:val="22"/>
        </w:rPr>
        <w:t xml:space="preserve">— reduced to a basic physician queue with single-reviewer flow.</w:t>
      </w:r>
    </w:p>
    <w:p>
      <w:pPr>
        <w:pStyle w:val="Heading2"/>
        <w:spacing w:after="140" w:before="280"/>
      </w:pPr>
      <w:r>
        <w:rPr>
          <w:rFonts w:ascii="Arial" w:cs="Arial" w:eastAsia="Arial" w:hAnsi="Arial"/>
          <w:b/>
          <w:bCs/>
          <w:color w:val="1F3A5F"/>
          <w:sz w:val="28"/>
          <w:szCs w:val="28"/>
        </w:rPr>
        <w:t xml:space="preserve">12.3 Therapies — Simplifications</w:t>
      </w:r>
    </w:p>
    <w:p>
      <w:pPr>
        <w:pStyle w:val="ListParagraph"/>
        <w:numPr>
          <w:ilvl w:val="0"/>
          <w:numId w:val="2"/>
        </w:numPr>
        <w:spacing w:after="30" w:before="30"/>
      </w:pPr>
      <w:r>
        <w:rPr>
          <w:rFonts w:ascii="Arial" w:cs="Arial" w:eastAsia="Arial" w:hAnsi="Arial"/>
          <w:b/>
          <w:bCs/>
          <w:color w:val="0F172A"/>
          <w:sz w:val="22"/>
          <w:szCs w:val="22"/>
        </w:rPr>
        <w:t xml:space="preserve">Waitlist + conflict-resolution booking engine </w:t>
      </w:r>
      <w:r>
        <w:rPr>
          <w:rFonts w:ascii="Arial" w:cs="Arial" w:eastAsia="Arial" w:hAnsi="Arial"/>
          <w:color w:val="0F172A"/>
          <w:sz w:val="22"/>
          <w:szCs w:val="22"/>
        </w:rPr>
        <w:t xml:space="preserve">— replaced with a simplified time-slot picker. No waitlist promotion or auto-rebooking in MVP.</w:t>
      </w:r>
    </w:p>
    <w:p>
      <w:pPr>
        <w:pStyle w:val="ListParagraph"/>
        <w:numPr>
          <w:ilvl w:val="0"/>
          <w:numId w:val="2"/>
        </w:numPr>
        <w:spacing w:after="30" w:before="30"/>
      </w:pPr>
      <w:r>
        <w:rPr>
          <w:rFonts w:ascii="Arial" w:cs="Arial" w:eastAsia="Arial" w:hAnsi="Arial"/>
          <w:b/>
          <w:bCs/>
          <w:color w:val="0F172A"/>
          <w:sz w:val="22"/>
          <w:szCs w:val="22"/>
        </w:rPr>
        <w:t xml:space="preserve">Custom in-app payment UI </w:t>
      </w:r>
      <w:r>
        <w:rPr>
          <w:rFonts w:ascii="Arial" w:cs="Arial" w:eastAsia="Arial" w:hAnsi="Arial"/>
          <w:color w:val="0F172A"/>
          <w:sz w:val="22"/>
          <w:szCs w:val="22"/>
        </w:rPr>
        <w:t xml:space="preserve">— replaced with Razorpay hosted checkout page.</w:t>
      </w:r>
    </w:p>
    <w:p>
      <w:pPr>
        <w:pStyle w:val="ListParagraph"/>
        <w:numPr>
          <w:ilvl w:val="0"/>
          <w:numId w:val="2"/>
        </w:numPr>
        <w:spacing w:after="30" w:before="30"/>
      </w:pPr>
      <w:r>
        <w:rPr>
          <w:rFonts w:ascii="Arial" w:cs="Arial" w:eastAsia="Arial" w:hAnsi="Arial"/>
          <w:b/>
          <w:bCs/>
          <w:color w:val="0F172A"/>
          <w:sz w:val="22"/>
          <w:szCs w:val="22"/>
        </w:rPr>
        <w:t xml:space="preserve">ML-based therapy recommendation engine </w:t>
      </w:r>
      <w:r>
        <w:rPr>
          <w:rFonts w:ascii="Arial" w:cs="Arial" w:eastAsia="Arial" w:hAnsi="Arial"/>
          <w:color w:val="0F172A"/>
          <w:sz w:val="22"/>
          <w:szCs w:val="22"/>
        </w:rPr>
        <w:t xml:space="preserve">— replaced with rule-based (if/then) recommendations. ML can be layered on top later.</w:t>
      </w:r>
    </w:p>
    <w:p>
      <w:pPr>
        <w:pStyle w:val="ListParagraph"/>
        <w:numPr>
          <w:ilvl w:val="0"/>
          <w:numId w:val="2"/>
        </w:numPr>
        <w:spacing w:after="30" w:before="30"/>
      </w:pPr>
      <w:r>
        <w:rPr>
          <w:rFonts w:ascii="Arial" w:cs="Arial" w:eastAsia="Arial" w:hAnsi="Arial"/>
          <w:b/>
          <w:bCs/>
          <w:color w:val="0F172A"/>
          <w:sz w:val="22"/>
          <w:szCs w:val="22"/>
        </w:rPr>
        <w:t xml:space="preserve">Advanced provider tooling </w:t>
      </w:r>
      <w:r>
        <w:rPr>
          <w:rFonts w:ascii="Arial" w:cs="Arial" w:eastAsia="Arial" w:hAnsi="Arial"/>
          <w:color w:val="0F172A"/>
          <w:sz w:val="22"/>
          <w:szCs w:val="22"/>
        </w:rPr>
        <w:t xml:space="preserve">— calendar sync, multi-provider scheduling, room/resource allocation, and provider payouts are deferred.</w:t>
      </w:r>
    </w:p>
    <w:p>
      <w:pPr>
        <w:pStyle w:val="Heading2"/>
        <w:spacing w:after="140" w:before="280"/>
      </w:pPr>
      <w:r>
        <w:rPr>
          <w:rFonts w:ascii="Arial" w:cs="Arial" w:eastAsia="Arial" w:hAnsi="Arial"/>
          <w:b/>
          <w:bCs/>
          <w:color w:val="1F3A5F"/>
          <w:sz w:val="28"/>
          <w:szCs w:val="28"/>
        </w:rPr>
        <w:t xml:space="preserve">12.4 CHAMP AI Coach — Simplifications</w:t>
      </w:r>
    </w:p>
    <w:p>
      <w:pPr>
        <w:pStyle w:val="ListParagraph"/>
        <w:numPr>
          <w:ilvl w:val="0"/>
          <w:numId w:val="2"/>
        </w:numPr>
        <w:spacing w:after="30" w:before="30"/>
      </w:pPr>
      <w:r>
        <w:rPr>
          <w:rFonts w:ascii="Arial" w:cs="Arial" w:eastAsia="Arial" w:hAnsi="Arial"/>
          <w:b/>
          <w:bCs/>
          <w:color w:val="0F172A"/>
          <w:sz w:val="22"/>
          <w:szCs w:val="22"/>
        </w:rPr>
        <w:t xml:space="preserve">Custom context-assembly pipeline </w:t>
      </w:r>
      <w:r>
        <w:rPr>
          <w:rFonts w:ascii="Arial" w:cs="Arial" w:eastAsia="Arial" w:hAnsi="Arial"/>
          <w:color w:val="0F172A"/>
          <w:sz w:val="22"/>
          <w:szCs w:val="22"/>
        </w:rPr>
        <w:t xml:space="preserve">— replaced with Vercel AI SDK + simple RAG over Supabase data.</w:t>
      </w:r>
    </w:p>
    <w:p>
      <w:pPr>
        <w:pStyle w:val="ListParagraph"/>
        <w:numPr>
          <w:ilvl w:val="0"/>
          <w:numId w:val="2"/>
        </w:numPr>
        <w:spacing w:after="30" w:before="30"/>
      </w:pPr>
      <w:r>
        <w:rPr>
          <w:rFonts w:ascii="Arial" w:cs="Arial" w:eastAsia="Arial" w:hAnsi="Arial"/>
          <w:b/>
          <w:bCs/>
          <w:color w:val="0F172A"/>
          <w:sz w:val="22"/>
          <w:szCs w:val="22"/>
        </w:rPr>
        <w:t xml:space="preserve">Multi-model LLM routing </w:t>
      </w:r>
      <w:r>
        <w:rPr>
          <w:rFonts w:ascii="Arial" w:cs="Arial" w:eastAsia="Arial" w:hAnsi="Arial"/>
          <w:color w:val="0F172A"/>
          <w:sz w:val="22"/>
          <w:szCs w:val="22"/>
        </w:rPr>
        <w:t xml:space="preserve">— MVP uses OpenAI only. Anthropic / open-source fallback deferred.</w:t>
      </w:r>
    </w:p>
    <w:p>
      <w:pPr>
        <w:pStyle w:val="ListParagraph"/>
        <w:numPr>
          <w:ilvl w:val="0"/>
          <w:numId w:val="2"/>
        </w:numPr>
        <w:spacing w:after="30" w:before="30"/>
      </w:pPr>
      <w:r>
        <w:rPr>
          <w:rFonts w:ascii="Arial" w:cs="Arial" w:eastAsia="Arial" w:hAnsi="Arial"/>
          <w:b/>
          <w:bCs/>
          <w:color w:val="0F172A"/>
          <w:sz w:val="22"/>
          <w:szCs w:val="22"/>
        </w:rPr>
        <w:t xml:space="preserve">Extensive prompt library + versioning </w:t>
      </w:r>
      <w:r>
        <w:rPr>
          <w:rFonts w:ascii="Arial" w:cs="Arial" w:eastAsia="Arial" w:hAnsi="Arial"/>
          <w:color w:val="0F172A"/>
          <w:sz w:val="22"/>
          <w:szCs w:val="22"/>
        </w:rPr>
        <w:t xml:space="preserve">— reduced to 3–4 core templates with basic admin editor.</w:t>
      </w:r>
    </w:p>
    <w:p>
      <w:pPr>
        <w:pStyle w:val="ListParagraph"/>
        <w:numPr>
          <w:ilvl w:val="0"/>
          <w:numId w:val="2"/>
        </w:numPr>
        <w:spacing w:after="30" w:before="30"/>
      </w:pPr>
      <w:r>
        <w:rPr>
          <w:rFonts w:ascii="Arial" w:cs="Arial" w:eastAsia="Arial" w:hAnsi="Arial"/>
          <w:b/>
          <w:bCs/>
          <w:color w:val="0F172A"/>
          <w:sz w:val="22"/>
          <w:szCs w:val="22"/>
        </w:rPr>
        <w:t xml:space="preserve">Advanced clinical safety guardrails </w:t>
      </w:r>
      <w:r>
        <w:rPr>
          <w:rFonts w:ascii="Arial" w:cs="Arial" w:eastAsia="Arial" w:hAnsi="Arial"/>
          <w:color w:val="0F172A"/>
          <w:sz w:val="22"/>
          <w:szCs w:val="22"/>
        </w:rPr>
        <w:t xml:space="preserve">— reduced to blocklist + standard medical disclaimers. Full clinical-NLP filtering is deferred.</w:t>
      </w:r>
    </w:p>
    <w:p>
      <w:pPr>
        <w:pStyle w:val="Heading2"/>
        <w:spacing w:after="140" w:before="280"/>
      </w:pPr>
      <w:r>
        <w:rPr>
          <w:rFonts w:ascii="Arial" w:cs="Arial" w:eastAsia="Arial" w:hAnsi="Arial"/>
          <w:b/>
          <w:bCs/>
          <w:color w:val="1F3A5F"/>
          <w:sz w:val="28"/>
          <w:szCs w:val="28"/>
        </w:rPr>
        <w:t xml:space="preserve">12.5 Programs — Simplifications</w:t>
      </w:r>
    </w:p>
    <w:p>
      <w:pPr>
        <w:pStyle w:val="ListParagraph"/>
        <w:numPr>
          <w:ilvl w:val="0"/>
          <w:numId w:val="2"/>
        </w:numPr>
        <w:spacing w:after="30" w:before="30"/>
      </w:pPr>
      <w:r>
        <w:rPr>
          <w:rFonts w:ascii="Arial" w:cs="Arial" w:eastAsia="Arial" w:hAnsi="Arial"/>
          <w:b/>
          <w:bCs/>
          <w:color w:val="0F172A"/>
          <w:sz w:val="22"/>
          <w:szCs w:val="22"/>
        </w:rPr>
        <w:t xml:space="preserve">Full state-machine program engine </w:t>
      </w:r>
      <w:r>
        <w:rPr>
          <w:rFonts w:ascii="Arial" w:cs="Arial" w:eastAsia="Arial" w:hAnsi="Arial"/>
          <w:color w:val="0F172A"/>
          <w:sz w:val="22"/>
          <w:szCs w:val="22"/>
        </w:rPr>
        <w:t xml:space="preserve">— replaced with simpler phase-based logic + daily plan.</w:t>
      </w:r>
    </w:p>
    <w:p>
      <w:pPr>
        <w:pStyle w:val="ListParagraph"/>
        <w:numPr>
          <w:ilvl w:val="0"/>
          <w:numId w:val="2"/>
        </w:numPr>
        <w:spacing w:after="30" w:before="30"/>
      </w:pPr>
      <w:r>
        <w:rPr>
          <w:rFonts w:ascii="Arial" w:cs="Arial" w:eastAsia="Arial" w:hAnsi="Arial"/>
          <w:b/>
          <w:bCs/>
          <w:color w:val="0F172A"/>
          <w:sz w:val="22"/>
          <w:szCs w:val="22"/>
        </w:rPr>
        <w:t xml:space="preserve">Advanced outcome analytics </w:t>
      </w:r>
      <w:r>
        <w:rPr>
          <w:rFonts w:ascii="Arial" w:cs="Arial" w:eastAsia="Arial" w:hAnsi="Arial"/>
          <w:color w:val="0F172A"/>
          <w:sz w:val="22"/>
          <w:szCs w:val="22"/>
        </w:rPr>
        <w:t xml:space="preserve">— reduced to basic before/after comparison. Cohort analysis and longitudinal trends are deferred.</w:t>
      </w:r>
    </w:p>
    <w:p>
      <w:pPr>
        <w:pStyle w:val="ListParagraph"/>
        <w:numPr>
          <w:ilvl w:val="0"/>
          <w:numId w:val="2"/>
        </w:numPr>
        <w:spacing w:after="30" w:before="30"/>
      </w:pPr>
      <w:r>
        <w:rPr>
          <w:rFonts w:ascii="Arial" w:cs="Arial" w:eastAsia="Arial" w:hAnsi="Arial"/>
          <w:b/>
          <w:bCs/>
          <w:color w:val="0F172A"/>
          <w:sz w:val="22"/>
          <w:szCs w:val="22"/>
        </w:rPr>
        <w:t xml:space="preserve">Drag-and-drop program builder </w:t>
      </w:r>
      <w:r>
        <w:rPr>
          <w:rFonts w:ascii="Arial" w:cs="Arial" w:eastAsia="Arial" w:hAnsi="Arial"/>
          <w:color w:val="0F172A"/>
          <w:sz w:val="22"/>
          <w:szCs w:val="22"/>
        </w:rPr>
        <w:t xml:space="preserve">— replaced with form-based CRUD using shadcn/ui.</w:t>
      </w:r>
    </w:p>
    <w:p>
      <w:pPr>
        <w:pStyle w:val="Heading2"/>
        <w:spacing w:after="140" w:before="280"/>
      </w:pPr>
      <w:r>
        <w:rPr>
          <w:rFonts w:ascii="Arial" w:cs="Arial" w:eastAsia="Arial" w:hAnsi="Arial"/>
          <w:b/>
          <w:bCs/>
          <w:color w:val="1F3A5F"/>
          <w:sz w:val="28"/>
          <w:szCs w:val="28"/>
        </w:rPr>
        <w:t xml:space="preserve">12.6 Admin Console — Simplifications</w:t>
      </w:r>
    </w:p>
    <w:p>
      <w:pPr>
        <w:pStyle w:val="ListParagraph"/>
        <w:numPr>
          <w:ilvl w:val="0"/>
          <w:numId w:val="2"/>
        </w:numPr>
        <w:spacing w:after="30" w:before="30"/>
      </w:pPr>
      <w:r>
        <w:rPr>
          <w:rFonts w:ascii="Arial" w:cs="Arial" w:eastAsia="Arial" w:hAnsi="Arial"/>
          <w:b/>
          <w:bCs/>
          <w:color w:val="0F172A"/>
          <w:sz w:val="22"/>
          <w:szCs w:val="22"/>
        </w:rPr>
        <w:t xml:space="preserve">Role hierarchy </w:t>
      </w:r>
      <w:r>
        <w:rPr>
          <w:rFonts w:ascii="Arial" w:cs="Arial" w:eastAsia="Arial" w:hAnsi="Arial"/>
          <w:color w:val="0F172A"/>
          <w:sz w:val="22"/>
          <w:szCs w:val="22"/>
        </w:rPr>
        <w:t xml:space="preserve">— reduced from 8 roles to 4 (Admin, Physician, Provider, Member).</w:t>
      </w:r>
    </w:p>
    <w:p>
      <w:pPr>
        <w:pStyle w:val="ListParagraph"/>
        <w:numPr>
          <w:ilvl w:val="0"/>
          <w:numId w:val="2"/>
        </w:numPr>
        <w:spacing w:after="30" w:before="30"/>
      </w:pPr>
      <w:r>
        <w:rPr>
          <w:rFonts w:ascii="Arial" w:cs="Arial" w:eastAsia="Arial" w:hAnsi="Arial"/>
          <w:b/>
          <w:bCs/>
          <w:color w:val="0F172A"/>
          <w:sz w:val="22"/>
          <w:szCs w:val="22"/>
        </w:rPr>
        <w:t xml:space="preserve">Admin analytics dashboards </w:t>
      </w:r>
      <w:r>
        <w:rPr>
          <w:rFonts w:ascii="Arial" w:cs="Arial" w:eastAsia="Arial" w:hAnsi="Arial"/>
          <w:color w:val="0F172A"/>
          <w:sz w:val="22"/>
          <w:szCs w:val="22"/>
        </w:rPr>
        <w:t xml:space="preserve">— deferred. MVP admin focuses on CRUD; analytics are accessed via Mixpanel directly.</w:t>
      </w:r>
    </w:p>
    <w:p>
      <w:pPr>
        <w:pStyle w:val="ListParagraph"/>
        <w:numPr>
          <w:ilvl w:val="0"/>
          <w:numId w:val="2"/>
        </w:numPr>
        <w:spacing w:after="30" w:before="30"/>
      </w:pPr>
      <w:r>
        <w:rPr>
          <w:rFonts w:ascii="Arial" w:cs="Arial" w:eastAsia="Arial" w:hAnsi="Arial"/>
          <w:b/>
          <w:bCs/>
          <w:color w:val="0F172A"/>
          <w:sz w:val="22"/>
          <w:szCs w:val="22"/>
        </w:rPr>
        <w:t xml:space="preserve">Advanced reporting + exports </w:t>
      </w:r>
      <w:r>
        <w:rPr>
          <w:rFonts w:ascii="Arial" w:cs="Arial" w:eastAsia="Arial" w:hAnsi="Arial"/>
          <w:color w:val="0F172A"/>
          <w:sz w:val="22"/>
          <w:szCs w:val="22"/>
        </w:rPr>
        <w:t xml:space="preserve">— deferred. Basic table views and CSV export only.</w:t>
      </w:r>
    </w:p>
    <w:p>
      <w:pPr>
        <w:pStyle w:val="ListParagraph"/>
        <w:numPr>
          <w:ilvl w:val="0"/>
          <w:numId w:val="2"/>
        </w:numPr>
        <w:spacing w:after="30" w:before="30"/>
      </w:pPr>
      <w:r>
        <w:rPr>
          <w:rFonts w:ascii="Arial" w:cs="Arial" w:eastAsia="Arial" w:hAnsi="Arial"/>
          <w:b/>
          <w:bCs/>
          <w:color w:val="0F172A"/>
          <w:sz w:val="22"/>
          <w:szCs w:val="22"/>
        </w:rPr>
        <w:t xml:space="preserve">Bulk operations / user import </w:t>
      </w:r>
      <w:r>
        <w:rPr>
          <w:rFonts w:ascii="Arial" w:cs="Arial" w:eastAsia="Arial" w:hAnsi="Arial"/>
          <w:color w:val="0F172A"/>
          <w:sz w:val="22"/>
          <w:szCs w:val="22"/>
        </w:rPr>
        <w:t xml:space="preserve">— deferred.</w:t>
      </w:r>
    </w:p>
    <w:p>
      <w:pPr>
        <w:pStyle w:val="Heading2"/>
        <w:spacing w:after="140" w:before="280"/>
      </w:pPr>
      <w:r>
        <w:rPr>
          <w:rFonts w:ascii="Arial" w:cs="Arial" w:eastAsia="Arial" w:hAnsi="Arial"/>
          <w:b/>
          <w:bCs/>
          <w:color w:val="1F3A5F"/>
          <w:sz w:val="28"/>
          <w:szCs w:val="28"/>
        </w:rPr>
        <w:t xml:space="preserve">12.7 Infrastructure &amp; Cross-Cutting — Simplifications</w:t>
      </w:r>
    </w:p>
    <w:p>
      <w:pPr>
        <w:pStyle w:val="ListParagraph"/>
        <w:numPr>
          <w:ilvl w:val="0"/>
          <w:numId w:val="2"/>
        </w:numPr>
        <w:spacing w:after="30" w:before="30"/>
      </w:pPr>
      <w:r>
        <w:rPr>
          <w:rFonts w:ascii="Arial" w:cs="Arial" w:eastAsia="Arial" w:hAnsi="Arial"/>
          <w:b/>
          <w:bCs/>
          <w:color w:val="0F172A"/>
          <w:sz w:val="22"/>
          <w:szCs w:val="22"/>
        </w:rPr>
        <w:t xml:space="preserve">Custom S3 + CloudFront setup </w:t>
      </w:r>
      <w:r>
        <w:rPr>
          <w:rFonts w:ascii="Arial" w:cs="Arial" w:eastAsia="Arial" w:hAnsi="Arial"/>
          <w:color w:val="0F172A"/>
          <w:sz w:val="22"/>
          <w:szCs w:val="22"/>
        </w:rPr>
        <w:t xml:space="preserve">— replaced with Supabase Storage.</w:t>
      </w:r>
    </w:p>
    <w:p>
      <w:pPr>
        <w:pStyle w:val="ListParagraph"/>
        <w:numPr>
          <w:ilvl w:val="0"/>
          <w:numId w:val="2"/>
        </w:numPr>
        <w:spacing w:after="30" w:before="30"/>
      </w:pPr>
      <w:r>
        <w:rPr>
          <w:rFonts w:ascii="Arial" w:cs="Arial" w:eastAsia="Arial" w:hAnsi="Arial"/>
          <w:b/>
          <w:bCs/>
          <w:color w:val="0F172A"/>
          <w:sz w:val="22"/>
          <w:szCs w:val="22"/>
        </w:rPr>
        <w:t xml:space="preserve">Kubernetes, CDN tuning, auto-scaling, multi-region </w:t>
      </w:r>
      <w:r>
        <w:rPr>
          <w:rFonts w:ascii="Arial" w:cs="Arial" w:eastAsia="Arial" w:hAnsi="Arial"/>
          <w:color w:val="0F172A"/>
          <w:sz w:val="22"/>
          <w:szCs w:val="22"/>
        </w:rPr>
        <w:t xml:space="preserve">— deferred. Single-target deploy on Railway/Fly.io or Vercel.</w:t>
      </w:r>
    </w:p>
    <w:p>
      <w:pPr>
        <w:pStyle w:val="ListParagraph"/>
        <w:numPr>
          <w:ilvl w:val="0"/>
          <w:numId w:val="2"/>
        </w:numPr>
        <w:spacing w:after="30" w:before="30"/>
      </w:pPr>
      <w:r>
        <w:rPr>
          <w:rFonts w:ascii="Arial" w:cs="Arial" w:eastAsia="Arial" w:hAnsi="Arial"/>
          <w:b/>
          <w:bCs/>
          <w:color w:val="0F172A"/>
          <w:sz w:val="22"/>
          <w:szCs w:val="22"/>
        </w:rPr>
        <w:t xml:space="preserve">Server-side PDF generation (Puppeteer / wkhtmltopdf) </w:t>
      </w:r>
      <w:r>
        <w:rPr>
          <w:rFonts w:ascii="Arial" w:cs="Arial" w:eastAsia="Arial" w:hAnsi="Arial"/>
          <w:color w:val="0F172A"/>
          <w:sz w:val="22"/>
          <w:szCs w:val="22"/>
        </w:rPr>
        <w:t xml:space="preserve">— deferred. MVP uses browser print-to-PDF for reports.</w:t>
      </w:r>
    </w:p>
    <w:p>
      <w:pPr>
        <w:pStyle w:val="ListParagraph"/>
        <w:numPr>
          <w:ilvl w:val="0"/>
          <w:numId w:val="2"/>
        </w:numPr>
        <w:spacing w:after="30" w:before="30"/>
      </w:pPr>
      <w:r>
        <w:rPr>
          <w:rFonts w:ascii="Arial" w:cs="Arial" w:eastAsia="Arial" w:hAnsi="Arial"/>
          <w:b/>
          <w:bCs/>
          <w:color w:val="0F172A"/>
          <w:sz w:val="22"/>
          <w:szCs w:val="22"/>
        </w:rPr>
        <w:t xml:space="preserve">E2E test automation (Detox / Playwright) </w:t>
      </w:r>
      <w:r>
        <w:rPr>
          <w:rFonts w:ascii="Arial" w:cs="Arial" w:eastAsia="Arial" w:hAnsi="Arial"/>
          <w:color w:val="0F172A"/>
          <w:sz w:val="22"/>
          <w:szCs w:val="22"/>
        </w:rPr>
        <w:t xml:space="preserve">— deferred. MVP relies on manual + critical-path scripted tests.</w:t>
      </w:r>
    </w:p>
    <w:p>
      <w:pPr>
        <w:pStyle w:val="ListParagraph"/>
        <w:numPr>
          <w:ilvl w:val="0"/>
          <w:numId w:val="2"/>
        </w:numPr>
        <w:spacing w:after="30" w:before="30"/>
      </w:pPr>
      <w:r>
        <w:rPr>
          <w:rFonts w:ascii="Arial" w:cs="Arial" w:eastAsia="Arial" w:hAnsi="Arial"/>
          <w:b/>
          <w:bCs/>
          <w:color w:val="0F172A"/>
          <w:sz w:val="22"/>
          <w:szCs w:val="22"/>
        </w:rPr>
        <w:t xml:space="preserve">Advanced observability </w:t>
      </w:r>
      <w:r>
        <w:rPr>
          <w:rFonts w:ascii="Arial" w:cs="Arial" w:eastAsia="Arial" w:hAnsi="Arial"/>
          <w:color w:val="0F172A"/>
          <w:sz w:val="22"/>
          <w:szCs w:val="22"/>
        </w:rPr>
        <w:t xml:space="preserve">— distributed tracing, custom dashboards, SLO/SLA tooling are deferred. MVP uses Sentry + basic uptime monitoring.</w:t>
      </w:r>
    </w:p>
    <w:p>
      <w:pPr>
        <w:pStyle w:val="ListParagraph"/>
        <w:numPr>
          <w:ilvl w:val="0"/>
          <w:numId w:val="2"/>
        </w:numPr>
        <w:spacing w:after="30" w:before="30"/>
      </w:pPr>
      <w:r>
        <w:rPr>
          <w:rFonts w:ascii="Arial" w:cs="Arial" w:eastAsia="Arial" w:hAnsi="Arial"/>
          <w:b/>
          <w:bCs/>
          <w:color w:val="0F172A"/>
          <w:sz w:val="22"/>
          <w:szCs w:val="22"/>
        </w:rPr>
        <w:t xml:space="preserve">SOC 2 / HIPAA formal compliance program </w:t>
      </w:r>
      <w:r>
        <w:rPr>
          <w:rFonts w:ascii="Arial" w:cs="Arial" w:eastAsia="Arial" w:hAnsi="Arial"/>
          <w:color w:val="0F172A"/>
          <w:sz w:val="22"/>
          <w:szCs w:val="22"/>
        </w:rPr>
        <w:t xml:space="preserve">— MVP follows security best practices but does not include formal audit / certification work.</w:t>
      </w:r>
    </w:p>
    <w:p>
      <w:pPr>
        <w:pStyle w:val="Heading2"/>
        <w:spacing w:after="140" w:before="280"/>
      </w:pPr>
      <w:r>
        <w:rPr>
          <w:rFonts w:ascii="Arial" w:cs="Arial" w:eastAsia="Arial" w:hAnsi="Arial"/>
          <w:b/>
          <w:bCs/>
          <w:color w:val="1F3A5F"/>
          <w:sz w:val="28"/>
          <w:szCs w:val="28"/>
        </w:rPr>
        <w:t xml:space="preserve">12.8 Out of Scope Entirely</w:t>
      </w:r>
    </w:p>
    <w:p>
      <w:pPr>
        <w:pStyle w:val="ListParagraph"/>
        <w:numPr>
          <w:ilvl w:val="0"/>
          <w:numId w:val="2"/>
        </w:numPr>
        <w:spacing w:after="30" w:before="30"/>
      </w:pPr>
      <w:r>
        <w:rPr>
          <w:rFonts w:ascii="Arial" w:cs="Arial" w:eastAsia="Arial" w:hAnsi="Arial"/>
          <w:b/>
          <w:bCs/>
          <w:color w:val="0F172A"/>
          <w:sz w:val="22"/>
          <w:szCs w:val="22"/>
        </w:rPr>
        <w:t xml:space="preserve">Marketing website </w:t>
      </w:r>
      <w:r>
        <w:rPr>
          <w:rFonts w:ascii="Arial" w:cs="Arial" w:eastAsia="Arial" w:hAnsi="Arial"/>
          <w:color w:val="0F172A"/>
          <w:sz w:val="22"/>
          <w:szCs w:val="22"/>
        </w:rPr>
        <w:t xml:space="preserve">— not included. Brilworks can quote separately if needed.</w:t>
      </w:r>
    </w:p>
    <w:p>
      <w:pPr>
        <w:pStyle w:val="ListParagraph"/>
        <w:numPr>
          <w:ilvl w:val="0"/>
          <w:numId w:val="2"/>
        </w:numPr>
        <w:spacing w:after="30" w:before="30"/>
      </w:pPr>
      <w:r>
        <w:rPr>
          <w:rFonts w:ascii="Arial" w:cs="Arial" w:eastAsia="Arial" w:hAnsi="Arial"/>
          <w:b/>
          <w:bCs/>
          <w:color w:val="0F172A"/>
          <w:sz w:val="22"/>
          <w:szCs w:val="22"/>
        </w:rPr>
        <w:t xml:space="preserve">Content production </w:t>
      </w:r>
      <w:r>
        <w:rPr>
          <w:rFonts w:ascii="Arial" w:cs="Arial" w:eastAsia="Arial" w:hAnsi="Arial"/>
          <w:color w:val="0F172A"/>
          <w:sz w:val="22"/>
          <w:szCs w:val="22"/>
        </w:rPr>
        <w:t xml:space="preserve">— copywriting, blog content, therapy descriptions, program protocols are provided by Client.</w:t>
      </w:r>
    </w:p>
    <w:p>
      <w:pPr>
        <w:pStyle w:val="ListParagraph"/>
        <w:numPr>
          <w:ilvl w:val="0"/>
          <w:numId w:val="2"/>
        </w:numPr>
        <w:spacing w:after="30" w:before="30"/>
      </w:pPr>
      <w:r>
        <w:rPr>
          <w:rFonts w:ascii="Arial" w:cs="Arial" w:eastAsia="Arial" w:hAnsi="Arial"/>
          <w:b/>
          <w:bCs/>
          <w:color w:val="0F172A"/>
          <w:sz w:val="22"/>
          <w:szCs w:val="22"/>
        </w:rPr>
        <w:t xml:space="preserve">Branded design system creation </w:t>
      </w:r>
      <w:r>
        <w:rPr>
          <w:rFonts w:ascii="Arial" w:cs="Arial" w:eastAsia="Arial" w:hAnsi="Arial"/>
          <w:color w:val="0F172A"/>
          <w:sz w:val="22"/>
          <w:szCs w:val="22"/>
        </w:rPr>
        <w:t xml:space="preserve">— design is provided by Client; this SOW covers implementation only.</w:t>
      </w:r>
    </w:p>
    <w:p>
      <w:pPr>
        <w:pStyle w:val="ListParagraph"/>
        <w:numPr>
          <w:ilvl w:val="0"/>
          <w:numId w:val="2"/>
        </w:numPr>
        <w:spacing w:after="30" w:before="30"/>
      </w:pPr>
      <w:r>
        <w:rPr>
          <w:rFonts w:ascii="Arial" w:cs="Arial" w:eastAsia="Arial" w:hAnsi="Arial"/>
          <w:b/>
          <w:bCs/>
          <w:color w:val="0F172A"/>
          <w:sz w:val="22"/>
          <w:szCs w:val="22"/>
        </w:rPr>
        <w:t xml:space="preserve">Customer support tooling </w:t>
      </w:r>
      <w:r>
        <w:rPr>
          <w:rFonts w:ascii="Arial" w:cs="Arial" w:eastAsia="Arial" w:hAnsi="Arial"/>
          <w:color w:val="0F172A"/>
          <w:sz w:val="22"/>
          <w:szCs w:val="22"/>
        </w:rPr>
        <w:t xml:space="preserve">— helpdesk, ticketing, live chat (Intercom / Zendesk) integration deferred.</w:t>
      </w:r>
    </w:p>
    <w:p>
      <w:pPr>
        <w:pStyle w:val="ListParagraph"/>
        <w:numPr>
          <w:ilvl w:val="0"/>
          <w:numId w:val="2"/>
        </w:numPr>
        <w:spacing w:after="30" w:before="30"/>
      </w:pPr>
      <w:r>
        <w:rPr>
          <w:rFonts w:ascii="Arial" w:cs="Arial" w:eastAsia="Arial" w:hAnsi="Arial"/>
          <w:b/>
          <w:bCs/>
          <w:color w:val="0F172A"/>
          <w:sz w:val="22"/>
          <w:szCs w:val="22"/>
        </w:rPr>
        <w:t xml:space="preserve">EHR / EMR integrations </w:t>
      </w:r>
      <w:r>
        <w:rPr>
          <w:rFonts w:ascii="Arial" w:cs="Arial" w:eastAsia="Arial" w:hAnsi="Arial"/>
          <w:color w:val="0F172A"/>
          <w:sz w:val="22"/>
          <w:szCs w:val="22"/>
        </w:rPr>
        <w:t xml:space="preserve">— not in MVP.</w:t>
      </w:r>
    </w:p>
    <w:p>
      <w:pPr>
        <w:pStyle w:val="ListParagraph"/>
        <w:numPr>
          <w:ilvl w:val="0"/>
          <w:numId w:val="2"/>
        </w:numPr>
        <w:spacing w:after="30" w:before="30"/>
      </w:pPr>
      <w:r>
        <w:rPr>
          <w:rFonts w:ascii="Arial" w:cs="Arial" w:eastAsia="Arial" w:hAnsi="Arial"/>
          <w:b/>
          <w:bCs/>
          <w:color w:val="0F172A"/>
          <w:sz w:val="22"/>
          <w:szCs w:val="22"/>
        </w:rPr>
        <w:t xml:space="preserve">Telemedicine / video-call features </w:t>
      </w:r>
      <w:r>
        <w:rPr>
          <w:rFonts w:ascii="Arial" w:cs="Arial" w:eastAsia="Arial" w:hAnsi="Arial"/>
          <w:color w:val="0F172A"/>
          <w:sz w:val="22"/>
          <w:szCs w:val="22"/>
        </w:rPr>
        <w:t xml:space="preserve">— not in MVP.</w:t>
      </w:r>
    </w:p>
    <w:p>
      <w:pPr>
        <w:pStyle w:val="ListParagraph"/>
        <w:numPr>
          <w:ilvl w:val="0"/>
          <w:numId w:val="2"/>
        </w:numPr>
        <w:spacing w:after="30" w:before="30"/>
      </w:pPr>
      <w:r>
        <w:rPr>
          <w:rFonts w:ascii="Arial" w:cs="Arial" w:eastAsia="Arial" w:hAnsi="Arial"/>
          <w:b/>
          <w:bCs/>
          <w:color w:val="0F172A"/>
          <w:sz w:val="22"/>
          <w:szCs w:val="22"/>
        </w:rPr>
        <w:t xml:space="preserve">Multi-language / localization </w:t>
      </w:r>
      <w:r>
        <w:rPr>
          <w:rFonts w:ascii="Arial" w:cs="Arial" w:eastAsia="Arial" w:hAnsi="Arial"/>
          <w:color w:val="0F172A"/>
          <w:sz w:val="22"/>
          <w:szCs w:val="22"/>
        </w:rPr>
        <w:t xml:space="preserve">— English only in MVP.</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b/>
          <w:bCs/>
          <w:color w:val="1F3A5F"/>
          <w:sz w:val="22"/>
          <w:szCs w:val="22"/>
        </w:rPr>
        <w:t xml:space="preserve">Note: </w:t>
      </w:r>
      <w:r>
        <w:rPr>
          <w:rFonts w:ascii="Arial" w:cs="Arial" w:eastAsia="Arial" w:hAnsi="Arial"/>
          <w:i/>
          <w:iCs/>
          <w:color w:val="475569"/>
          <w:sz w:val="22"/>
          <w:szCs w:val="22"/>
        </w:rPr>
        <w:t xml:space="preserve">Any item in Section 11 can be added back via a Change Request. The original full-scope MVP estimate (pre-lean) was approximately </w:t>
      </w:r>
      <w:r>
        <w:rPr>
          <w:rFonts w:ascii="Arial" w:cs="Arial" w:eastAsia="Arial" w:hAnsi="Arial"/>
          <w:b/>
          <w:bCs/>
          <w:i/>
          <w:iCs/>
          <w:color w:val="475569"/>
          <w:sz w:val="22"/>
          <w:szCs w:val="22"/>
        </w:rPr>
        <w:t xml:space="preserve">3,100 hours</w:t>
      </w:r>
      <w:r>
        <w:rPr>
          <w:rFonts w:ascii="Arial" w:cs="Arial" w:eastAsia="Arial" w:hAnsi="Arial"/>
          <w:i/>
          <w:iCs/>
          <w:color w:val="475569"/>
          <w:sz w:val="22"/>
          <w:szCs w:val="22"/>
        </w:rPr>
        <w:t xml:space="preserve"> — the Lean MVP delivers the same product surface area for members and admins, at </w:t>
      </w:r>
      <w:r>
        <w:rPr>
          <w:rFonts w:ascii="Arial" w:cs="Arial" w:eastAsia="Arial" w:hAnsi="Arial"/>
          <w:b/>
          <w:bCs/>
          <w:i/>
          <w:iCs/>
          <w:color w:val="475569"/>
          <w:sz w:val="22"/>
          <w:szCs w:val="22"/>
        </w:rPr>
        <w:t xml:space="preserve">~45% lower effort</w:t>
      </w:r>
      <w:r>
        <w:rPr>
          <w:rFonts w:ascii="Arial" w:cs="Arial" w:eastAsia="Arial" w:hAnsi="Arial"/>
          <w:i/>
          <w:iCs/>
          <w:color w:val="475569"/>
          <w:sz w:val="22"/>
          <w:szCs w:val="22"/>
        </w:rPr>
        <w:t xml:space="preserve">, by trading depth in non-critical areas for time-to-market.</w:t>
      </w:r>
    </w:p>
    <w:p>
      <w:r>
        <w:br w:type="page"/>
      </w:r>
    </w:p>
    <w:p>
      <w:pPr>
        <w:pStyle w:val="Heading1"/>
        <w:spacing w:after="200" w:before="360"/>
      </w:pPr>
      <w:r>
        <w:rPr>
          <w:rFonts w:ascii="Arial" w:cs="Arial" w:eastAsia="Arial" w:hAnsi="Arial"/>
          <w:b/>
          <w:bCs/>
          <w:color w:val="1F3A5F"/>
          <w:sz w:val="36"/>
          <w:szCs w:val="36"/>
        </w:rPr>
        <w:t xml:space="preserve">13. Acceptance &amp; Signatures</w:t>
      </w:r>
    </w:p>
    <w:p>
      <w:pPr>
        <w:spacing w:after="60" w:before="60"/>
      </w:pPr>
      <w:r>
        <w:rPr>
          <w:rFonts w:ascii="Arial" w:cs="Arial" w:eastAsia="Arial" w:hAnsi="Arial"/>
          <w:color w:val="0F172A"/>
          <w:sz w:val="22"/>
          <w:szCs w:val="22"/>
        </w:rPr>
        <w:t xml:space="preserve">This Statement of Work is governed by the Master Services Agreement (MSA) between Champions Longevity and Brilworks Software LLP. By signing below, both parties agree to the scope, timeline, pricing, payment schedule, and exclusions described herein.</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1F3A5F"/>
                <w:sz w:val="22"/>
                <w:szCs w:val="22"/>
              </w:rPr>
              <w:t xml:space="preserve">For Champions Longevity</w:t>
            </w:r>
          </w:p>
        </w:tc>
        <w:tc>
          <w:tcPr>
            <w:tcW w:type="dxa" w:w="5040"/>
            <w:tcBorders>
              <w:top w:val="single" w:color="CBD5E1" w:sz="6"/>
              <w:left w:val="single" w:color="CBD5E1" w:sz="6"/>
              <w:bottom w:val="single" w:color="CBD5E1" w:sz="6"/>
              <w:right w:val="single" w:color="CBD5E1" w:sz="6"/>
            </w:tcBorders>
            <w:shd w:fill="F8FAFC" w:val="clear"/>
            <w:tcMar>
              <w:top w:type="dxa" w:w="80"/>
              <w:left w:type="dxa" w:w="120"/>
              <w:bottom w:type="dxa" w:w="80"/>
              <w:right w:type="dxa" w:w="120"/>
            </w:tcMar>
          </w:tcPr>
          <w:p>
            <w:pPr>
              <w:spacing w:after="40" w:before="40"/>
            </w:pPr>
            <w:r>
              <w:rPr>
                <w:rFonts w:ascii="Arial" w:cs="Arial" w:eastAsia="Arial" w:hAnsi="Arial"/>
                <w:b/>
                <w:bCs/>
                <w:color w:val="1F3A5F"/>
                <w:sz w:val="22"/>
                <w:szCs w:val="22"/>
              </w:rPr>
              <w:t xml:space="preserve">For Brilworks Software LLP</w:t>
            </w:r>
          </w:p>
        </w:tc>
      </w:tr>
      <w:tr>
        <w:tc>
          <w:tcPr>
            <w:tcW w:type="dxa" w:w="5040"/>
            <w:tcBorders>
              <w:top w:val="single" w:color="CBD5E1" w:sz="6"/>
              <w:left w:val="single" w:color="CBD5E1" w:sz="6"/>
              <w:bottom w:val="single" w:color="CBD5E1" w:sz="6"/>
              <w:right w:val="single" w:color="CBD5E1" w:sz="6"/>
            </w:tcBorders>
            <w:tcMar>
              <w:top w:type="dxa" w:w="80"/>
              <w:left w:type="dxa" w:w="120"/>
              <w:bottom w:type="dxa" w:w="80"/>
              <w:right w:type="dxa" w:w="120"/>
            </w:tcMar>
          </w:tcPr>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Name: _____________________________</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Title: _____________________________</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Signature: _________________________</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Date: ______________________________</w:t>
            </w:r>
          </w:p>
          <w:p>
            <w:pPr>
              <w:spacing w:after="60" w:before="60"/>
            </w:pPr>
            <w:r>
              <w:rPr>
                <w:rFonts w:ascii="Arial" w:cs="Arial" w:eastAsia="Arial" w:hAnsi="Arial"/>
                <w:color w:val="0F172A"/>
                <w:sz w:val="22"/>
                <w:szCs w:val="22"/>
              </w:rPr>
              <w:t xml:space="preserve"> </w:t>
            </w:r>
          </w:p>
        </w:tc>
        <w:tc>
          <w:tcPr>
            <w:tcW w:type="dxa" w:w="5040"/>
            <w:tcBorders>
              <w:top w:val="single" w:color="CBD5E1" w:sz="6"/>
              <w:left w:val="single" w:color="CBD5E1" w:sz="6"/>
              <w:bottom w:val="single" w:color="CBD5E1" w:sz="6"/>
              <w:right w:val="single" w:color="CBD5E1" w:sz="6"/>
            </w:tcBorders>
            <w:tcMar>
              <w:top w:type="dxa" w:w="80"/>
              <w:left w:type="dxa" w:w="120"/>
              <w:bottom w:type="dxa" w:w="80"/>
              <w:right w:type="dxa" w:w="120"/>
            </w:tcMar>
          </w:tcPr>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Name: Vikas Singh</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Title: Director, Brilworks Software LLP</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Signature: _________________________</w:t>
            </w:r>
          </w:p>
          <w:p>
            <w:pPr>
              <w:spacing w:after="60" w:before="60"/>
            </w:pPr>
            <w:r>
              <w:rPr>
                <w:rFonts w:ascii="Arial" w:cs="Arial" w:eastAsia="Arial" w:hAnsi="Arial"/>
                <w:color w:val="0F172A"/>
                <w:sz w:val="22"/>
                <w:szCs w:val="22"/>
              </w:rPr>
              <w:t xml:space="preserve"> </w:t>
            </w:r>
          </w:p>
          <w:p>
            <w:pPr>
              <w:spacing w:after="60" w:before="60"/>
            </w:pPr>
            <w:r>
              <w:rPr>
                <w:rFonts w:ascii="Arial" w:cs="Arial" w:eastAsia="Arial" w:hAnsi="Arial"/>
                <w:color w:val="0F172A"/>
                <w:sz w:val="22"/>
                <w:szCs w:val="22"/>
              </w:rPr>
              <w:t xml:space="preserve">Date: ______________________________</w:t>
            </w:r>
          </w:p>
          <w:p>
            <w:pPr>
              <w:spacing w:after="60" w:before="60"/>
            </w:pPr>
            <w:r>
              <w:rPr>
                <w:rFonts w:ascii="Arial" w:cs="Arial" w:eastAsia="Arial" w:hAnsi="Arial"/>
                <w:color w:val="0F172A"/>
                <w:sz w:val="22"/>
                <w:szCs w:val="22"/>
              </w:rPr>
              <w:t xml:space="preserve">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tabs>
        <w:tab w:val="right" w:pos="9360"/>
      </w:tabs>
    </w:pPr>
    <w:r>
      <w:rPr>
        <w:rFonts w:ascii="Arial" w:cs="Arial" w:eastAsia="Arial" w:hAnsi="Arial"/>
        <w:color w:val="475569"/>
        <w:sz w:val="18"/>
        <w:szCs w:val="18"/>
      </w:rPr>
      <w:t xml:space="preserve">Champions Longevity — Lean MVP SOW v1.0  •  May 18, 2026</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jc w:val="right"/>
    </w:pPr>
    <w:r>
      <w:rPr>
        <w:rFonts w:ascii="Arial" w:cs="Arial" w:eastAsia="Arial" w:hAnsi="Arial"/>
        <w:b/>
        <w:bCs/>
        <w:color w:val="1F3A5F"/>
        <w:sz w:val="18"/>
        <w:szCs w:val="18"/>
      </w:rPr>
      <w:t xml:space="preserve">BRILWORKS SOFTWARE LLP</w:t>
    </w:r>
    <w:r>
      <w:rPr>
        <w:rFonts w:ascii="Arial" w:cs="Arial" w:eastAsia="Arial" w:hAnsi="Arial"/>
        <w:color w:val="475569"/>
        <w:sz w:val="18"/>
        <w:szCs w:val="18"/>
      </w:rPr>
      <w:t xml:space="preserve">  •  Champions Longevity — Lean MVP SOW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4D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Champions Longevity — Lean MVP Scope of Work</dc:title>
  <dc:creator>Brilworks Software LLP</dc:creator>
  <dc:description>SOW for Champions Longevity Lean MVP (Web + Mobile + Backend + Deployment), Brilworks Software LLP</dc:description>
  <cp:lastModifiedBy>Un-named</cp:lastModifiedBy>
  <cp:revision>1</cp:revision>
  <dcterms:created xsi:type="dcterms:W3CDTF">2026-05-18T10:37:52.940Z</dcterms:created>
  <dcterms:modified xsi:type="dcterms:W3CDTF">2026-05-18T10:37:52.940Z</dcterms:modified>
</cp:coreProperties>
</file>

<file path=docProps/custom.xml><?xml version="1.0" encoding="utf-8"?>
<Properties xmlns="http://schemas.openxmlformats.org/officeDocument/2006/custom-properties" xmlns:vt="http://schemas.openxmlformats.org/officeDocument/2006/docPropsVTypes"/>
</file>